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7C873" w14:textId="77777777" w:rsidR="00B83285" w:rsidRDefault="00B83285" w:rsidP="00B83285"/>
    <w:p w14:paraId="6E21C362" w14:textId="5E3327C0" w:rsidR="00B83285" w:rsidRDefault="00B83285" w:rsidP="00B83285">
      <w:r>
        <w:rPr>
          <w:noProof/>
        </w:rPr>
        <w:drawing>
          <wp:inline distT="0" distB="0" distL="0" distR="0" wp14:anchorId="07C8DFA3" wp14:editId="2F1F48A8">
            <wp:extent cx="5943600" cy="1170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43600" cy="1170305"/>
                    </a:xfrm>
                    <a:prstGeom prst="rect">
                      <a:avLst/>
                    </a:prstGeom>
                    <a:noFill/>
                    <a:ln>
                      <a:noFill/>
                    </a:ln>
                  </pic:spPr>
                </pic:pic>
              </a:graphicData>
            </a:graphic>
          </wp:inline>
        </w:drawing>
      </w:r>
    </w:p>
    <w:p w14:paraId="20517E1D" w14:textId="77777777" w:rsidR="00B83285" w:rsidRDefault="00B83285" w:rsidP="00B83285">
      <w:pPr>
        <w:spacing w:line="254" w:lineRule="auto"/>
        <w:rPr>
          <w:rFonts w:ascii="Cambria" w:hAnsi="Cambria"/>
          <w:sz w:val="24"/>
          <w:szCs w:val="24"/>
        </w:rPr>
      </w:pPr>
      <w:r>
        <w:rPr>
          <w:rFonts w:ascii="Baskerville Old Face" w:hAnsi="Baskerville Old Face"/>
          <w:b/>
          <w:bCs/>
          <w:sz w:val="24"/>
          <w:szCs w:val="24"/>
        </w:rPr>
        <w:t>Summary of State Transit Funding in 2024-25 Budget          4/19/2024</w:t>
      </w:r>
    </w:p>
    <w:p w14:paraId="715FED95" w14:textId="77777777" w:rsidR="00B83285" w:rsidRDefault="00B83285" w:rsidP="00B83285">
      <w:pPr>
        <w:spacing w:after="160" w:line="254" w:lineRule="auto"/>
        <w:rPr>
          <w:rFonts w:ascii="Cambria" w:hAnsi="Cambria"/>
          <w:sz w:val="24"/>
          <w:szCs w:val="24"/>
        </w:rPr>
      </w:pPr>
      <w:r>
        <w:rPr>
          <w:rFonts w:ascii="Baskerville Old Face" w:hAnsi="Baskerville Old Face"/>
          <w:b/>
          <w:bCs/>
          <w:sz w:val="24"/>
          <w:szCs w:val="24"/>
        </w:rPr>
        <w:t>Bob Zerrillo and Bob Reid</w:t>
      </w:r>
    </w:p>
    <w:p w14:paraId="082A5F2C" w14:textId="77777777" w:rsidR="00B83285" w:rsidRDefault="00B83285" w:rsidP="00B83285">
      <w:pPr>
        <w:rPr>
          <w:rFonts w:ascii="Cambria" w:hAnsi="Cambria"/>
          <w:sz w:val="24"/>
          <w:szCs w:val="24"/>
        </w:rPr>
      </w:pPr>
      <w:r>
        <w:rPr>
          <w:rFonts w:ascii="Baskerville Old Face" w:hAnsi="Baskerville Old Face"/>
          <w:sz w:val="24"/>
          <w:szCs w:val="24"/>
        </w:rPr>
        <w:t>A final state budget agreement has been reached for SFY 2025. In the early morning hours of April 18th, three of the final budget bills were printed and passed by both houses with "messages of necessity" from the Governor. This morning, the Legislature printed the final health bills and we expect this, and the remainder of the Budget bills, to be voted on and passed today or tomorrow.</w:t>
      </w:r>
      <w:r>
        <w:rPr>
          <w:rFonts w:ascii="Baskerville Old Face" w:hAnsi="Baskerville Old Face"/>
          <w:b/>
          <w:bCs/>
          <w:sz w:val="24"/>
          <w:szCs w:val="24"/>
        </w:rPr>
        <w:t> </w:t>
      </w:r>
    </w:p>
    <w:p w14:paraId="5C91E024" w14:textId="77777777" w:rsidR="00B83285" w:rsidRDefault="00B83285" w:rsidP="00B83285">
      <w:pPr>
        <w:rPr>
          <w:rFonts w:ascii="Cambria" w:hAnsi="Cambria"/>
          <w:sz w:val="24"/>
          <w:szCs w:val="24"/>
        </w:rPr>
      </w:pPr>
      <w:r>
        <w:rPr>
          <w:rFonts w:ascii="Baskerville Old Face" w:hAnsi="Baskerville Old Face"/>
          <w:sz w:val="24"/>
          <w:szCs w:val="24"/>
        </w:rPr>
        <w:t> </w:t>
      </w:r>
    </w:p>
    <w:p w14:paraId="6350B804" w14:textId="77777777" w:rsidR="00B83285" w:rsidRDefault="00B83285" w:rsidP="00B83285">
      <w:pPr>
        <w:rPr>
          <w:rFonts w:ascii="Cambria" w:hAnsi="Cambria"/>
          <w:sz w:val="24"/>
          <w:szCs w:val="24"/>
        </w:rPr>
      </w:pPr>
      <w:r>
        <w:rPr>
          <w:rFonts w:ascii="Baskerville Old Face" w:hAnsi="Baskerville Old Face"/>
          <w:sz w:val="24"/>
          <w:szCs w:val="24"/>
        </w:rPr>
        <w:t>The final spending plan totals $237 billion and is $3 billion more than proposed in the Executive Budget in January.  The final deal does not have any broad-based tax increases, or any new taxes dedicated to public transit. It includes a two-year extension of mayoral control through June 2026, changes to the Tier VI pension system in place since 2012, a housing package to increase housing stock and add new tenant protections, $1.3 billion in increased education funding, expansion of tuition assistance for college, a crackdown on organized retail theft and expansion of local authority to shut down illegal cannabis stores.</w:t>
      </w:r>
    </w:p>
    <w:p w14:paraId="2AB063B8" w14:textId="77777777" w:rsidR="00B83285" w:rsidRDefault="00B83285" w:rsidP="00B83285">
      <w:pPr>
        <w:spacing w:after="160" w:line="254" w:lineRule="auto"/>
        <w:jc w:val="both"/>
        <w:rPr>
          <w:rFonts w:ascii="Cambria" w:hAnsi="Cambria"/>
          <w:sz w:val="24"/>
          <w:szCs w:val="24"/>
        </w:rPr>
      </w:pPr>
      <w:r>
        <w:rPr>
          <w:rFonts w:ascii="Baskerville Old Face" w:hAnsi="Baskerville Old Face"/>
          <w:sz w:val="24"/>
          <w:szCs w:val="24"/>
        </w:rPr>
        <w:t> </w:t>
      </w:r>
    </w:p>
    <w:p w14:paraId="4BEE63C2" w14:textId="77777777" w:rsidR="00B83285" w:rsidRDefault="00B83285" w:rsidP="00B83285">
      <w:pPr>
        <w:spacing w:line="254" w:lineRule="auto"/>
        <w:jc w:val="both"/>
        <w:rPr>
          <w:rFonts w:ascii="Cambria" w:hAnsi="Cambria"/>
          <w:sz w:val="24"/>
          <w:szCs w:val="24"/>
        </w:rPr>
      </w:pPr>
      <w:r>
        <w:rPr>
          <w:rFonts w:ascii="Baskerville Old Face" w:hAnsi="Baskerville Old Face"/>
          <w:sz w:val="24"/>
          <w:szCs w:val="24"/>
        </w:rPr>
        <w:t xml:space="preserve">The final SFY 25 Budget provides additional transit operating assistance for all transit systems above the levels contained in last year’s final 2023-24 State Budget. The budget proposes $139.5 m. in capital appropriations to non-MTA systems in FY 2024-25, $20 million less than the $165.5 million provided in 2023-24, as follows: </w:t>
      </w:r>
    </w:p>
    <w:p w14:paraId="1375E21F" w14:textId="77777777" w:rsidR="00B83285" w:rsidRDefault="00B83285" w:rsidP="00B83285">
      <w:pPr>
        <w:numPr>
          <w:ilvl w:val="1"/>
          <w:numId w:val="1"/>
        </w:numPr>
        <w:spacing w:line="254" w:lineRule="auto"/>
        <w:jc w:val="both"/>
        <w:rPr>
          <w:rFonts w:ascii="Cambria" w:hAnsi="Cambria"/>
          <w:sz w:val="24"/>
          <w:szCs w:val="24"/>
        </w:rPr>
      </w:pPr>
      <w:r>
        <w:rPr>
          <w:rFonts w:ascii="Baskerville Old Face" w:hAnsi="Baskerville Old Face"/>
          <w:sz w:val="24"/>
          <w:szCs w:val="24"/>
        </w:rPr>
        <w:t>$30.6 m. for state match to federal aid (same as 2023-24)</w:t>
      </w:r>
    </w:p>
    <w:p w14:paraId="2C706E2B" w14:textId="77777777" w:rsidR="00B83285" w:rsidRDefault="00B83285" w:rsidP="00B83285">
      <w:pPr>
        <w:numPr>
          <w:ilvl w:val="1"/>
          <w:numId w:val="1"/>
        </w:numPr>
        <w:spacing w:line="254" w:lineRule="auto"/>
        <w:jc w:val="both"/>
        <w:rPr>
          <w:rFonts w:ascii="Cambria" w:hAnsi="Cambria"/>
          <w:sz w:val="24"/>
          <w:szCs w:val="24"/>
        </w:rPr>
      </w:pPr>
      <w:r>
        <w:rPr>
          <w:rFonts w:ascii="Baskerville Old Face" w:hAnsi="Baskerville Old Face"/>
          <w:sz w:val="24"/>
          <w:szCs w:val="24"/>
        </w:rPr>
        <w:t xml:space="preserve">$20 m. for upstate systems (same as 2023-24, </w:t>
      </w:r>
      <w:r>
        <w:rPr>
          <w:rFonts w:ascii="Baskerville Old Face" w:hAnsi="Baskerville Old Face"/>
          <w:b/>
          <w:bCs/>
          <w:sz w:val="24"/>
          <w:szCs w:val="24"/>
        </w:rPr>
        <w:t>see table below</w:t>
      </w:r>
      <w:r>
        <w:rPr>
          <w:rFonts w:ascii="Baskerville Old Face" w:hAnsi="Baskerville Old Face"/>
          <w:sz w:val="24"/>
          <w:szCs w:val="24"/>
        </w:rPr>
        <w:t>)</w:t>
      </w:r>
    </w:p>
    <w:p w14:paraId="703F3638" w14:textId="77777777" w:rsidR="00B83285" w:rsidRDefault="00B83285" w:rsidP="00B83285">
      <w:pPr>
        <w:numPr>
          <w:ilvl w:val="1"/>
          <w:numId w:val="1"/>
        </w:numPr>
        <w:spacing w:line="254" w:lineRule="auto"/>
        <w:jc w:val="both"/>
        <w:rPr>
          <w:rFonts w:ascii="Cambria" w:hAnsi="Cambria"/>
          <w:sz w:val="24"/>
          <w:szCs w:val="24"/>
        </w:rPr>
      </w:pPr>
      <w:r>
        <w:rPr>
          <w:rFonts w:ascii="Baskerville Old Face" w:hAnsi="Baskerville Old Face"/>
          <w:sz w:val="24"/>
          <w:szCs w:val="24"/>
        </w:rPr>
        <w:t>$68.9 m. for non-MTA capital (same as 2023-24)</w:t>
      </w:r>
    </w:p>
    <w:p w14:paraId="440FF0F0" w14:textId="77777777" w:rsidR="00B83285" w:rsidRDefault="00B83285" w:rsidP="00B83285">
      <w:pPr>
        <w:numPr>
          <w:ilvl w:val="1"/>
          <w:numId w:val="1"/>
        </w:numPr>
        <w:spacing w:line="254" w:lineRule="auto"/>
        <w:jc w:val="both"/>
        <w:rPr>
          <w:rFonts w:ascii="Cambria" w:hAnsi="Cambria"/>
          <w:sz w:val="24"/>
          <w:szCs w:val="24"/>
        </w:rPr>
      </w:pPr>
      <w:r>
        <w:rPr>
          <w:rFonts w:ascii="Baskerville Old Face" w:hAnsi="Baskerville Old Face"/>
          <w:sz w:val="24"/>
          <w:szCs w:val="24"/>
        </w:rPr>
        <w:t xml:space="preserve">$20 m. for electrification of non-MTA bus fleets (same as 2023-24) </w:t>
      </w:r>
    </w:p>
    <w:p w14:paraId="329B04ED" w14:textId="77777777" w:rsidR="00B83285" w:rsidRDefault="00B83285" w:rsidP="00B83285">
      <w:pPr>
        <w:numPr>
          <w:ilvl w:val="1"/>
          <w:numId w:val="1"/>
        </w:numPr>
        <w:spacing w:line="254" w:lineRule="auto"/>
        <w:jc w:val="both"/>
        <w:rPr>
          <w:rFonts w:ascii="Cambria" w:hAnsi="Cambria"/>
          <w:sz w:val="24"/>
          <w:szCs w:val="24"/>
        </w:rPr>
      </w:pPr>
      <w:r>
        <w:rPr>
          <w:rFonts w:ascii="Baskerville Old Face" w:hAnsi="Baskerville Old Face"/>
          <w:sz w:val="24"/>
          <w:szCs w:val="24"/>
        </w:rPr>
        <w:t>$26 m. for NFTA Light Rail</w:t>
      </w:r>
    </w:p>
    <w:p w14:paraId="0018B47E" w14:textId="77777777" w:rsidR="00B83285" w:rsidRDefault="00B83285" w:rsidP="00B83285">
      <w:pPr>
        <w:spacing w:line="254" w:lineRule="auto"/>
        <w:ind w:left="1440"/>
        <w:jc w:val="both"/>
        <w:rPr>
          <w:rFonts w:ascii="Cambria" w:hAnsi="Cambria"/>
          <w:sz w:val="24"/>
          <w:szCs w:val="24"/>
        </w:rPr>
      </w:pPr>
      <w:r>
        <w:rPr>
          <w:rFonts w:ascii="Baskerville Old Face" w:hAnsi="Baskerville Old Face"/>
          <w:sz w:val="24"/>
          <w:szCs w:val="24"/>
        </w:rPr>
        <w:t> </w:t>
      </w:r>
    </w:p>
    <w:p w14:paraId="4ED108AF" w14:textId="77777777" w:rsidR="00B83285" w:rsidRDefault="00B83285" w:rsidP="00B83285">
      <w:pPr>
        <w:spacing w:after="160" w:line="254" w:lineRule="auto"/>
        <w:jc w:val="both"/>
        <w:rPr>
          <w:rFonts w:ascii="Cambria" w:hAnsi="Cambria"/>
          <w:sz w:val="24"/>
          <w:szCs w:val="24"/>
        </w:rPr>
      </w:pPr>
      <w:r>
        <w:rPr>
          <w:rFonts w:ascii="Baskerville Old Face" w:hAnsi="Baskerville Old Face"/>
          <w:sz w:val="24"/>
          <w:szCs w:val="24"/>
          <w:u w:val="single"/>
        </w:rPr>
        <w:t>Upstate $20 m. Capital Funding</w:t>
      </w:r>
    </w:p>
    <w:p w14:paraId="44470348" w14:textId="77777777" w:rsidR="00B83285" w:rsidRDefault="00B83285" w:rsidP="00B83285">
      <w:pPr>
        <w:spacing w:after="160" w:line="254" w:lineRule="auto"/>
        <w:jc w:val="both"/>
        <w:rPr>
          <w:rFonts w:ascii="Cambria" w:hAnsi="Cambria"/>
          <w:sz w:val="24"/>
          <w:szCs w:val="24"/>
        </w:rPr>
      </w:pPr>
      <w:r>
        <w:rPr>
          <w:rFonts w:ascii="Baskerville Old Face" w:hAnsi="Baskerville Old Face"/>
          <w:sz w:val="24"/>
          <w:szCs w:val="24"/>
        </w:rPr>
        <w:t>Upstate systems receive the same capital funding line items totaling $20 million as in prior years.</w:t>
      </w:r>
    </w:p>
    <w:tbl>
      <w:tblPr>
        <w:tblW w:w="8480" w:type="dxa"/>
        <w:tblCellMar>
          <w:left w:w="0" w:type="dxa"/>
          <w:right w:w="0" w:type="dxa"/>
        </w:tblCellMar>
        <w:tblLook w:val="04A0" w:firstRow="1" w:lastRow="0" w:firstColumn="1" w:lastColumn="0" w:noHBand="0" w:noVBand="1"/>
      </w:tblPr>
      <w:tblGrid>
        <w:gridCol w:w="2120"/>
        <w:gridCol w:w="1720"/>
        <w:gridCol w:w="1720"/>
        <w:gridCol w:w="1660"/>
        <w:gridCol w:w="1260"/>
      </w:tblGrid>
      <w:tr w:rsidR="00B83285" w14:paraId="10B52211" w14:textId="77777777" w:rsidTr="00B83285">
        <w:trPr>
          <w:trHeight w:val="288"/>
        </w:trPr>
        <w:tc>
          <w:tcPr>
            <w:tcW w:w="2120" w:type="dxa"/>
            <w:noWrap/>
            <w:tcMar>
              <w:top w:w="0" w:type="dxa"/>
              <w:left w:w="108" w:type="dxa"/>
              <w:bottom w:w="0" w:type="dxa"/>
              <w:right w:w="108" w:type="dxa"/>
            </w:tcMar>
            <w:vAlign w:val="bottom"/>
            <w:hideMark/>
          </w:tcPr>
          <w:p w14:paraId="7355C33C" w14:textId="77777777" w:rsidR="00B83285" w:rsidRDefault="00B83285">
            <w:pPr>
              <w:rPr>
                <w:rFonts w:ascii="Cambria" w:hAnsi="Cambria"/>
                <w:sz w:val="24"/>
                <w:szCs w:val="24"/>
              </w:rPr>
            </w:pPr>
          </w:p>
        </w:tc>
        <w:tc>
          <w:tcPr>
            <w:tcW w:w="6360" w:type="dxa"/>
            <w:gridSpan w:val="4"/>
            <w:tcMar>
              <w:top w:w="0" w:type="dxa"/>
              <w:left w:w="108" w:type="dxa"/>
              <w:bottom w:w="0" w:type="dxa"/>
              <w:right w:w="108" w:type="dxa"/>
            </w:tcMar>
            <w:vAlign w:val="center"/>
            <w:hideMark/>
          </w:tcPr>
          <w:p w14:paraId="3C2FCC15" w14:textId="77777777" w:rsidR="00B83285" w:rsidRDefault="00B83285">
            <w:pPr>
              <w:jc w:val="center"/>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FYE 2025 Upstate Capital Funding</w:t>
            </w:r>
          </w:p>
        </w:tc>
      </w:tr>
      <w:tr w:rsidR="00B83285" w14:paraId="284E448F" w14:textId="77777777" w:rsidTr="00B83285">
        <w:trPr>
          <w:trHeight w:val="288"/>
        </w:trPr>
        <w:tc>
          <w:tcPr>
            <w:tcW w:w="2120" w:type="dxa"/>
            <w:noWrap/>
            <w:tcMar>
              <w:top w:w="0" w:type="dxa"/>
              <w:left w:w="108" w:type="dxa"/>
              <w:bottom w:w="0" w:type="dxa"/>
              <w:right w:w="108" w:type="dxa"/>
            </w:tcMar>
            <w:vAlign w:val="bottom"/>
            <w:hideMark/>
          </w:tcPr>
          <w:p w14:paraId="0FE890E3" w14:textId="77777777" w:rsidR="00B83285" w:rsidRDefault="00B83285">
            <w:pPr>
              <w:rPr>
                <w:rFonts w:ascii="Cambria" w:hAnsi="Cambria"/>
                <w:kern w:val="2"/>
                <w:sz w:val="24"/>
                <w:szCs w:val="24"/>
                <w14:ligatures w14:val="standardContextual"/>
              </w:rPr>
            </w:pPr>
          </w:p>
        </w:tc>
        <w:tc>
          <w:tcPr>
            <w:tcW w:w="1720" w:type="dxa"/>
            <w:tcMar>
              <w:top w:w="0" w:type="dxa"/>
              <w:left w:w="108" w:type="dxa"/>
              <w:bottom w:w="0" w:type="dxa"/>
              <w:right w:w="108" w:type="dxa"/>
            </w:tcMar>
            <w:vAlign w:val="center"/>
            <w:hideMark/>
          </w:tcPr>
          <w:p w14:paraId="680B1C78" w14:textId="77777777" w:rsidR="00B83285" w:rsidRDefault="00B83285">
            <w:pPr>
              <w:rPr>
                <w:rFonts w:asciiTheme="minorHAnsi" w:hAnsiTheme="minorHAnsi" w:cstheme="minorBidi"/>
                <w:sz w:val="20"/>
                <w:szCs w:val="20"/>
              </w:rPr>
            </w:pPr>
          </w:p>
        </w:tc>
        <w:tc>
          <w:tcPr>
            <w:tcW w:w="1720" w:type="dxa"/>
            <w:noWrap/>
            <w:tcMar>
              <w:top w:w="0" w:type="dxa"/>
              <w:left w:w="108" w:type="dxa"/>
              <w:bottom w:w="0" w:type="dxa"/>
              <w:right w:w="108" w:type="dxa"/>
            </w:tcMar>
            <w:vAlign w:val="bottom"/>
            <w:hideMark/>
          </w:tcPr>
          <w:p w14:paraId="0D5016CA" w14:textId="77777777" w:rsidR="00B83285" w:rsidRDefault="00B83285">
            <w:pPr>
              <w:rPr>
                <w:rFonts w:asciiTheme="minorHAnsi" w:hAnsiTheme="minorHAnsi" w:cstheme="minorBidi"/>
                <w:sz w:val="20"/>
                <w:szCs w:val="20"/>
              </w:rPr>
            </w:pPr>
          </w:p>
        </w:tc>
        <w:tc>
          <w:tcPr>
            <w:tcW w:w="1660" w:type="dxa"/>
            <w:noWrap/>
            <w:tcMar>
              <w:top w:w="0" w:type="dxa"/>
              <w:left w:w="108" w:type="dxa"/>
              <w:bottom w:w="0" w:type="dxa"/>
              <w:right w:w="108" w:type="dxa"/>
            </w:tcMar>
            <w:vAlign w:val="bottom"/>
            <w:hideMark/>
          </w:tcPr>
          <w:p w14:paraId="54870C23" w14:textId="77777777" w:rsidR="00B83285" w:rsidRDefault="00B83285">
            <w:pPr>
              <w:rPr>
                <w:rFonts w:asciiTheme="minorHAnsi" w:hAnsiTheme="minorHAnsi" w:cstheme="minorBidi"/>
                <w:sz w:val="20"/>
                <w:szCs w:val="20"/>
              </w:rPr>
            </w:pPr>
          </w:p>
        </w:tc>
        <w:tc>
          <w:tcPr>
            <w:tcW w:w="1260" w:type="dxa"/>
            <w:noWrap/>
            <w:tcMar>
              <w:top w:w="0" w:type="dxa"/>
              <w:left w:w="108" w:type="dxa"/>
              <w:bottom w:w="0" w:type="dxa"/>
              <w:right w:w="108" w:type="dxa"/>
            </w:tcMar>
            <w:vAlign w:val="bottom"/>
            <w:hideMark/>
          </w:tcPr>
          <w:p w14:paraId="5BE982DD" w14:textId="77777777" w:rsidR="00B83285" w:rsidRDefault="00B83285">
            <w:pPr>
              <w:rPr>
                <w:rFonts w:asciiTheme="minorHAnsi" w:hAnsiTheme="minorHAnsi" w:cstheme="minorBidi"/>
                <w:sz w:val="20"/>
                <w:szCs w:val="20"/>
              </w:rPr>
            </w:pPr>
          </w:p>
        </w:tc>
      </w:tr>
      <w:tr w:rsidR="00B83285" w14:paraId="74C0935D" w14:textId="77777777" w:rsidTr="00B83285">
        <w:trPr>
          <w:trHeight w:val="288"/>
        </w:trPr>
        <w:tc>
          <w:tcPr>
            <w:tcW w:w="2120" w:type="dxa"/>
            <w:noWrap/>
            <w:tcMar>
              <w:top w:w="0" w:type="dxa"/>
              <w:left w:w="108" w:type="dxa"/>
              <w:bottom w:w="0" w:type="dxa"/>
              <w:right w:w="108" w:type="dxa"/>
            </w:tcMar>
            <w:vAlign w:val="bottom"/>
            <w:hideMark/>
          </w:tcPr>
          <w:p w14:paraId="5DA8E77B" w14:textId="77777777" w:rsidR="00B83285" w:rsidRDefault="00B83285">
            <w:pPr>
              <w:rPr>
                <w:rFonts w:asciiTheme="minorHAnsi" w:hAnsiTheme="minorHAnsi" w:cstheme="minorBidi"/>
                <w:sz w:val="20"/>
                <w:szCs w:val="20"/>
              </w:rPr>
            </w:pPr>
          </w:p>
        </w:tc>
        <w:tc>
          <w:tcPr>
            <w:tcW w:w="1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C5491A" w14:textId="77777777" w:rsidR="00B83285" w:rsidRDefault="00B83285">
            <w:pPr>
              <w:jc w:val="center"/>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FYE 2025</w:t>
            </w:r>
          </w:p>
        </w:tc>
        <w:tc>
          <w:tcPr>
            <w:tcW w:w="1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92481B" w14:textId="77777777" w:rsidR="00B83285" w:rsidRDefault="00B83285">
            <w:pPr>
              <w:jc w:val="center"/>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FYE 2024</w:t>
            </w:r>
          </w:p>
        </w:tc>
        <w:tc>
          <w:tcPr>
            <w:tcW w:w="16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E50F99" w14:textId="77777777" w:rsidR="00B83285" w:rsidRDefault="00B83285">
            <w:pPr>
              <w:jc w:val="center"/>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Change</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94279D" w14:textId="77777777" w:rsidR="00B83285" w:rsidRDefault="00B83285">
            <w:pPr>
              <w:jc w:val="center"/>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 Change</w:t>
            </w:r>
          </w:p>
        </w:tc>
      </w:tr>
      <w:tr w:rsidR="00B83285" w14:paraId="2D904316" w14:textId="77777777" w:rsidTr="00B83285">
        <w:trPr>
          <w:trHeight w:val="288"/>
        </w:trPr>
        <w:tc>
          <w:tcPr>
            <w:tcW w:w="21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E2551E" w14:textId="77777777" w:rsidR="00B83285" w:rsidRDefault="00B83285">
            <w:pPr>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UPSTATE</w:t>
            </w:r>
          </w:p>
        </w:tc>
        <w:tc>
          <w:tcPr>
            <w:tcW w:w="1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E81CF6" w14:textId="77777777" w:rsidR="00B83285" w:rsidRDefault="00B83285">
            <w:pPr>
              <w:jc w:val="center"/>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Final</w:t>
            </w:r>
          </w:p>
        </w:tc>
        <w:tc>
          <w:tcPr>
            <w:tcW w:w="1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AC0AFF" w14:textId="77777777" w:rsidR="00B83285" w:rsidRDefault="00B83285">
            <w:pPr>
              <w:jc w:val="center"/>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Enacted</w:t>
            </w: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2E9567" w14:textId="77777777" w:rsidR="00B83285" w:rsidRDefault="00B83285">
            <w:pPr>
              <w:jc w:val="center"/>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 FYE25– FYE24</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26762C" w14:textId="77777777" w:rsidR="00B83285" w:rsidRDefault="00B83285">
            <w:pPr>
              <w:jc w:val="center"/>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FYE25-FYE24</w:t>
            </w:r>
          </w:p>
        </w:tc>
      </w:tr>
      <w:tr w:rsidR="00B83285" w14:paraId="40A08977" w14:textId="77777777" w:rsidTr="00B83285">
        <w:trPr>
          <w:trHeight w:val="288"/>
        </w:trPr>
        <w:tc>
          <w:tcPr>
            <w:tcW w:w="2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7950" w14:textId="77777777" w:rsidR="00B83285" w:rsidRDefault="00B83285">
            <w:pPr>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CDTA</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BCAF22"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$3,596,000</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97603F"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$3,596,000</w:t>
            </w: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545A3B"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 xml:space="preserve">$0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166153"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0.00%</w:t>
            </w:r>
          </w:p>
        </w:tc>
      </w:tr>
      <w:tr w:rsidR="00B83285" w14:paraId="3F17C60A" w14:textId="77777777" w:rsidTr="00B83285">
        <w:trPr>
          <w:trHeight w:val="288"/>
        </w:trPr>
        <w:tc>
          <w:tcPr>
            <w:tcW w:w="2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66BAD" w14:textId="77777777" w:rsidR="00B83285" w:rsidRDefault="00B83285">
            <w:pPr>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CNYRTA</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1DB6B1"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$3,282,600</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F6A541"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$3,282,600</w:t>
            </w: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2E7952"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 xml:space="preserve">$0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F0F5F0"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0.00%</w:t>
            </w:r>
          </w:p>
        </w:tc>
      </w:tr>
      <w:tr w:rsidR="00B83285" w14:paraId="47195E91" w14:textId="77777777" w:rsidTr="00B83285">
        <w:trPr>
          <w:trHeight w:val="288"/>
        </w:trPr>
        <w:tc>
          <w:tcPr>
            <w:tcW w:w="2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1553EA" w14:textId="77777777" w:rsidR="00B83285" w:rsidRDefault="00B83285">
            <w:pPr>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RGRTA</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40E929"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$3,985,700</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3DA9BA"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$3,985,700</w:t>
            </w: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A52A9F"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 xml:space="preserve">$0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60FEBC"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0.00%</w:t>
            </w:r>
          </w:p>
        </w:tc>
      </w:tr>
      <w:tr w:rsidR="00B83285" w14:paraId="2BB3904F" w14:textId="77777777" w:rsidTr="00B83285">
        <w:trPr>
          <w:trHeight w:val="288"/>
        </w:trPr>
        <w:tc>
          <w:tcPr>
            <w:tcW w:w="2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4DCCA6" w14:textId="77777777" w:rsidR="00B83285" w:rsidRDefault="00B83285">
            <w:pPr>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lastRenderedPageBreak/>
              <w:t>NFTA</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B0CC54"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$5,177,500</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9B8C0D"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$5,177,500</w:t>
            </w: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8D140"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 xml:space="preserve">$0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6047E8"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0.00%</w:t>
            </w:r>
          </w:p>
        </w:tc>
      </w:tr>
      <w:tr w:rsidR="00B83285" w14:paraId="7953FCC1" w14:textId="77777777" w:rsidTr="00B83285">
        <w:trPr>
          <w:trHeight w:val="288"/>
        </w:trPr>
        <w:tc>
          <w:tcPr>
            <w:tcW w:w="2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B3F873" w14:textId="77777777" w:rsidR="00B83285" w:rsidRDefault="00B83285">
            <w:pPr>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Formula</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4F0DC5"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$3,958,200</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D02F0A"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$3,958,200</w:t>
            </w: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A93879"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 xml:space="preserve">$0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84961"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0.00%</w:t>
            </w:r>
          </w:p>
        </w:tc>
      </w:tr>
      <w:tr w:rsidR="00B83285" w14:paraId="50269F59" w14:textId="77777777" w:rsidTr="00B83285">
        <w:trPr>
          <w:trHeight w:val="288"/>
        </w:trPr>
        <w:tc>
          <w:tcPr>
            <w:tcW w:w="2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14753F" w14:textId="77777777" w:rsidR="00B83285" w:rsidRDefault="00B83285">
            <w:pPr>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Upstate Subtotal</w:t>
            </w:r>
          </w:p>
        </w:tc>
        <w:tc>
          <w:tcPr>
            <w:tcW w:w="1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E2B28C" w14:textId="77777777" w:rsidR="00B83285" w:rsidRDefault="00B83285">
            <w:pPr>
              <w:jc w:val="right"/>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$20,000,000</w:t>
            </w:r>
          </w:p>
        </w:tc>
        <w:tc>
          <w:tcPr>
            <w:tcW w:w="1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E89BB3" w14:textId="77777777" w:rsidR="00B83285" w:rsidRDefault="00B83285">
            <w:pPr>
              <w:jc w:val="right"/>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$20,000,000</w:t>
            </w: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9D8CC" w14:textId="77777777" w:rsidR="00B83285" w:rsidRDefault="00B83285">
            <w:pPr>
              <w:jc w:val="right"/>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 xml:space="preserve">$0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EF01D9" w14:textId="77777777" w:rsidR="00B83285" w:rsidRDefault="00B83285">
            <w:pPr>
              <w:jc w:val="right"/>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0.00%</w:t>
            </w:r>
          </w:p>
        </w:tc>
      </w:tr>
    </w:tbl>
    <w:p w14:paraId="74BBF80A" w14:textId="77777777" w:rsidR="00B83285" w:rsidRDefault="00B83285" w:rsidP="00B83285">
      <w:pPr>
        <w:spacing w:line="254" w:lineRule="auto"/>
        <w:jc w:val="both"/>
        <w:rPr>
          <w:rFonts w:ascii="Cambria" w:hAnsi="Cambria"/>
          <w:sz w:val="24"/>
          <w:szCs w:val="24"/>
        </w:rPr>
      </w:pPr>
      <w:r>
        <w:rPr>
          <w:rFonts w:ascii="Baskerville Old Face" w:hAnsi="Baskerville Old Face"/>
          <w:sz w:val="24"/>
          <w:szCs w:val="24"/>
        </w:rPr>
        <w:t> </w:t>
      </w:r>
    </w:p>
    <w:p w14:paraId="6A27883F" w14:textId="77777777" w:rsidR="00B83285" w:rsidRDefault="00B83285" w:rsidP="00B83285">
      <w:pPr>
        <w:spacing w:line="254" w:lineRule="auto"/>
        <w:jc w:val="both"/>
        <w:rPr>
          <w:rFonts w:ascii="Cambria" w:hAnsi="Cambria"/>
          <w:sz w:val="24"/>
          <w:szCs w:val="24"/>
        </w:rPr>
      </w:pPr>
      <w:r>
        <w:rPr>
          <w:rFonts w:ascii="Baskerville Old Face" w:hAnsi="Baskerville Old Face"/>
          <w:sz w:val="24"/>
          <w:szCs w:val="24"/>
        </w:rPr>
        <w:t> </w:t>
      </w:r>
    </w:p>
    <w:p w14:paraId="09A2D964" w14:textId="77777777" w:rsidR="00B83285" w:rsidRDefault="00B83285" w:rsidP="00B83285">
      <w:pPr>
        <w:spacing w:line="254" w:lineRule="auto"/>
        <w:jc w:val="both"/>
        <w:rPr>
          <w:rFonts w:ascii="Cambria" w:hAnsi="Cambria"/>
          <w:sz w:val="24"/>
          <w:szCs w:val="24"/>
        </w:rPr>
      </w:pPr>
      <w:r>
        <w:rPr>
          <w:rFonts w:ascii="Baskerville Old Face" w:hAnsi="Baskerville Old Face"/>
          <w:sz w:val="24"/>
          <w:szCs w:val="24"/>
        </w:rPr>
        <w:t>In addition, there was included $18 m. funding for Rochester Intermodal Station.</w:t>
      </w:r>
    </w:p>
    <w:p w14:paraId="477A9883" w14:textId="77777777" w:rsidR="00B83285" w:rsidRDefault="00B83285" w:rsidP="00B83285">
      <w:pPr>
        <w:spacing w:after="160" w:line="254" w:lineRule="auto"/>
        <w:jc w:val="both"/>
        <w:rPr>
          <w:rFonts w:ascii="Cambria" w:hAnsi="Cambria"/>
          <w:sz w:val="24"/>
          <w:szCs w:val="24"/>
        </w:rPr>
      </w:pPr>
      <w:r>
        <w:rPr>
          <w:rFonts w:ascii="Baskerville Old Face" w:hAnsi="Baskerville Old Face"/>
          <w:sz w:val="24"/>
          <w:szCs w:val="24"/>
        </w:rPr>
        <w:t> </w:t>
      </w:r>
    </w:p>
    <w:p w14:paraId="4539A27F" w14:textId="77777777" w:rsidR="00B83285" w:rsidRDefault="00B83285" w:rsidP="00B83285">
      <w:pPr>
        <w:spacing w:after="160" w:line="254" w:lineRule="auto"/>
        <w:jc w:val="both"/>
        <w:rPr>
          <w:rFonts w:ascii="Cambria" w:hAnsi="Cambria"/>
          <w:sz w:val="24"/>
          <w:szCs w:val="24"/>
        </w:rPr>
      </w:pPr>
      <w:r>
        <w:rPr>
          <w:rFonts w:ascii="Baskerville Old Face" w:hAnsi="Baskerville Old Face"/>
          <w:sz w:val="24"/>
          <w:szCs w:val="24"/>
        </w:rPr>
        <w:t xml:space="preserve">Following is a summary of the funding for public transit and related legislation. </w:t>
      </w:r>
    </w:p>
    <w:p w14:paraId="4F1BB1DC" w14:textId="77777777" w:rsidR="00B83285" w:rsidRDefault="00B83285" w:rsidP="00B83285">
      <w:pPr>
        <w:spacing w:after="160" w:line="254" w:lineRule="auto"/>
        <w:jc w:val="both"/>
        <w:rPr>
          <w:rFonts w:ascii="Cambria" w:hAnsi="Cambria"/>
          <w:sz w:val="24"/>
          <w:szCs w:val="24"/>
        </w:rPr>
      </w:pPr>
      <w:r>
        <w:rPr>
          <w:rFonts w:ascii="Baskerville Old Face" w:hAnsi="Baskerville Old Face"/>
          <w:sz w:val="24"/>
          <w:szCs w:val="24"/>
          <w:u w:val="single"/>
        </w:rPr>
        <w:t>STOA</w:t>
      </w:r>
    </w:p>
    <w:p w14:paraId="748328F3" w14:textId="77777777" w:rsidR="00B83285" w:rsidRDefault="00B83285" w:rsidP="00B83285">
      <w:pPr>
        <w:numPr>
          <w:ilvl w:val="0"/>
          <w:numId w:val="2"/>
        </w:numPr>
        <w:spacing w:line="254" w:lineRule="auto"/>
        <w:jc w:val="both"/>
        <w:rPr>
          <w:rFonts w:ascii="Cambria" w:hAnsi="Cambria"/>
          <w:sz w:val="24"/>
          <w:szCs w:val="24"/>
        </w:rPr>
      </w:pPr>
      <w:r>
        <w:rPr>
          <w:rFonts w:ascii="Baskerville Old Face" w:hAnsi="Baskerville Old Face"/>
          <w:b/>
          <w:bCs/>
          <w:sz w:val="24"/>
          <w:szCs w:val="24"/>
        </w:rPr>
        <w:t>Upstate STOA</w:t>
      </w:r>
      <w:r>
        <w:rPr>
          <w:rFonts w:ascii="Baskerville Old Face" w:hAnsi="Baskerville Old Face"/>
          <w:sz w:val="24"/>
          <w:szCs w:val="24"/>
        </w:rPr>
        <w:t>:  Funding for upstate systems is increased by 8.58% from 2023-24 enacted budget levels. The increase is funded entirely from general funds. CDTA receives an additional $1.639 million for takeover of Warren County service, which is subtracted for the Upstate formula appropriation.</w:t>
      </w:r>
    </w:p>
    <w:p w14:paraId="66C6DEEC" w14:textId="77777777" w:rsidR="00B83285" w:rsidRDefault="00B83285" w:rsidP="00B83285">
      <w:pPr>
        <w:numPr>
          <w:ilvl w:val="0"/>
          <w:numId w:val="2"/>
        </w:numPr>
        <w:spacing w:line="254" w:lineRule="auto"/>
        <w:jc w:val="both"/>
        <w:rPr>
          <w:rFonts w:ascii="Cambria" w:hAnsi="Cambria"/>
          <w:sz w:val="24"/>
          <w:szCs w:val="24"/>
        </w:rPr>
      </w:pPr>
      <w:r>
        <w:rPr>
          <w:rFonts w:ascii="Baskerville Old Face" w:hAnsi="Baskerville Old Face"/>
          <w:b/>
          <w:bCs/>
          <w:sz w:val="24"/>
          <w:szCs w:val="24"/>
        </w:rPr>
        <w:t>Downstate Suburban County STOA</w:t>
      </w:r>
      <w:r>
        <w:rPr>
          <w:rFonts w:ascii="Baskerville Old Face" w:hAnsi="Baskerville Old Face"/>
          <w:sz w:val="24"/>
          <w:szCs w:val="24"/>
        </w:rPr>
        <w:t xml:space="preserve">:  Funding is increased by 5.58% from 2023-24 levels. The increase is funded entirely from state dedicated funds. Downstate funding Includes $11 m. for the Lower Hudson Transit Link bus service, the same level as 2023-24. </w:t>
      </w:r>
    </w:p>
    <w:p w14:paraId="7662EC42" w14:textId="77777777" w:rsidR="00B83285" w:rsidRDefault="00B83285" w:rsidP="00B83285">
      <w:pPr>
        <w:numPr>
          <w:ilvl w:val="0"/>
          <w:numId w:val="2"/>
        </w:numPr>
        <w:spacing w:line="254" w:lineRule="auto"/>
        <w:jc w:val="both"/>
        <w:rPr>
          <w:rFonts w:ascii="Cambria" w:hAnsi="Cambria"/>
          <w:sz w:val="24"/>
          <w:szCs w:val="24"/>
        </w:rPr>
      </w:pPr>
      <w:r>
        <w:rPr>
          <w:rFonts w:ascii="Baskerville Old Face" w:hAnsi="Baskerville Old Face"/>
          <w:b/>
          <w:bCs/>
          <w:sz w:val="24"/>
          <w:szCs w:val="24"/>
        </w:rPr>
        <w:t xml:space="preserve">MTA funding:  </w:t>
      </w:r>
      <w:r>
        <w:rPr>
          <w:rFonts w:ascii="Baskerville Old Face" w:hAnsi="Baskerville Old Face"/>
          <w:sz w:val="24"/>
          <w:szCs w:val="24"/>
        </w:rPr>
        <w:t>MTA would receive a total of $7.9 billion in operating funding, an 11% increase from 2023-24 levels. This includes state appropriations to the MTA as well as the payroll mobility tax and other revenues received directly. State appropriations to MTA total $4.268 billion, an increase from $4.129 billion in the 2023-24 enacted budget.</w:t>
      </w:r>
    </w:p>
    <w:p w14:paraId="4C0E88BA" w14:textId="77777777" w:rsidR="00B83285" w:rsidRDefault="00B83285" w:rsidP="00B83285">
      <w:pPr>
        <w:numPr>
          <w:ilvl w:val="0"/>
          <w:numId w:val="2"/>
        </w:numPr>
        <w:spacing w:line="254" w:lineRule="auto"/>
        <w:jc w:val="both"/>
        <w:rPr>
          <w:rFonts w:ascii="Cambria" w:hAnsi="Cambria"/>
          <w:sz w:val="24"/>
          <w:szCs w:val="24"/>
        </w:rPr>
      </w:pPr>
      <w:r>
        <w:rPr>
          <w:rFonts w:ascii="Baskerville Old Face" w:hAnsi="Baskerville Old Face"/>
          <w:sz w:val="24"/>
          <w:szCs w:val="24"/>
        </w:rPr>
        <w:t>The STOA appropriations are shown below.</w:t>
      </w:r>
    </w:p>
    <w:p w14:paraId="64A01F02" w14:textId="77777777" w:rsidR="00B83285" w:rsidRDefault="00B83285" w:rsidP="00B83285">
      <w:pPr>
        <w:spacing w:line="254" w:lineRule="auto"/>
        <w:jc w:val="both"/>
        <w:rPr>
          <w:rFonts w:ascii="Cambria" w:hAnsi="Cambria"/>
          <w:sz w:val="24"/>
          <w:szCs w:val="24"/>
        </w:rPr>
      </w:pPr>
      <w:r>
        <w:rPr>
          <w:rFonts w:ascii="Baskerville Old Face" w:hAnsi="Baskerville Old Face"/>
          <w:sz w:val="24"/>
          <w:szCs w:val="24"/>
        </w:rPr>
        <w:t> </w:t>
      </w:r>
    </w:p>
    <w:tbl>
      <w:tblPr>
        <w:tblW w:w="8640" w:type="dxa"/>
        <w:tblCellMar>
          <w:left w:w="0" w:type="dxa"/>
          <w:right w:w="0" w:type="dxa"/>
        </w:tblCellMar>
        <w:tblLook w:val="04A0" w:firstRow="1" w:lastRow="0" w:firstColumn="1" w:lastColumn="0" w:noHBand="0" w:noVBand="1"/>
      </w:tblPr>
      <w:tblGrid>
        <w:gridCol w:w="1889"/>
        <w:gridCol w:w="1711"/>
        <w:gridCol w:w="140"/>
        <w:gridCol w:w="1688"/>
        <w:gridCol w:w="1613"/>
        <w:gridCol w:w="1156"/>
        <w:gridCol w:w="222"/>
        <w:gridCol w:w="222"/>
      </w:tblGrid>
      <w:tr w:rsidR="00B83285" w14:paraId="7368E43C" w14:textId="77777777" w:rsidTr="00B83285">
        <w:trPr>
          <w:trHeight w:val="600"/>
        </w:trPr>
        <w:tc>
          <w:tcPr>
            <w:tcW w:w="8196" w:type="dxa"/>
            <w:gridSpan w:val="6"/>
            <w:tcMar>
              <w:top w:w="0" w:type="dxa"/>
              <w:left w:w="108" w:type="dxa"/>
              <w:bottom w:w="0" w:type="dxa"/>
              <w:right w:w="108" w:type="dxa"/>
            </w:tcMar>
            <w:vAlign w:val="center"/>
            <w:hideMark/>
          </w:tcPr>
          <w:p w14:paraId="6DD28EF4" w14:textId="77777777" w:rsidR="00B83285" w:rsidRDefault="00B83285">
            <w:pPr>
              <w:jc w:val="center"/>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STOA Appropriations – FYE 2025 Executive Budget vs FYE 2024 Enacted</w:t>
            </w:r>
          </w:p>
        </w:tc>
        <w:tc>
          <w:tcPr>
            <w:tcW w:w="450" w:type="dxa"/>
            <w:gridSpan w:val="2"/>
            <w:vAlign w:val="center"/>
            <w:hideMark/>
          </w:tcPr>
          <w:p w14:paraId="41C310D0" w14:textId="77777777" w:rsidR="00B83285" w:rsidRDefault="00B83285">
            <w:pPr>
              <w:rPr>
                <w:rFonts w:ascii="Cambria" w:hAnsi="Cambria"/>
                <w:kern w:val="2"/>
                <w:sz w:val="24"/>
                <w:szCs w:val="24"/>
                <w14:ligatures w14:val="standardContextual"/>
              </w:rPr>
            </w:pPr>
            <w:r>
              <w:rPr>
                <w:rFonts w:ascii="Cambria" w:hAnsi="Cambria"/>
                <w:kern w:val="2"/>
                <w:sz w:val="24"/>
                <w:szCs w:val="24"/>
                <w14:ligatures w14:val="standardContextual"/>
              </w:rPr>
              <w:t> </w:t>
            </w:r>
          </w:p>
        </w:tc>
      </w:tr>
      <w:tr w:rsidR="00B83285" w14:paraId="6C0436A1" w14:textId="77777777" w:rsidTr="00B83285">
        <w:trPr>
          <w:trHeight w:val="300"/>
        </w:trPr>
        <w:tc>
          <w:tcPr>
            <w:tcW w:w="1889" w:type="dxa"/>
            <w:tcBorders>
              <w:top w:val="nil"/>
              <w:left w:val="nil"/>
              <w:bottom w:val="single" w:sz="8" w:space="0" w:color="auto"/>
              <w:right w:val="nil"/>
            </w:tcBorders>
            <w:tcMar>
              <w:top w:w="0" w:type="dxa"/>
              <w:left w:w="108" w:type="dxa"/>
              <w:bottom w:w="0" w:type="dxa"/>
              <w:right w:w="108" w:type="dxa"/>
            </w:tcMar>
            <w:vAlign w:val="center"/>
            <w:hideMark/>
          </w:tcPr>
          <w:p w14:paraId="1A08C87C" w14:textId="77777777" w:rsidR="00B83285" w:rsidRDefault="00B83285">
            <w:pPr>
              <w:jc w:val="center"/>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 </w:t>
            </w:r>
          </w:p>
        </w:tc>
        <w:tc>
          <w:tcPr>
            <w:tcW w:w="1851" w:type="dxa"/>
            <w:gridSpan w:val="2"/>
            <w:tcBorders>
              <w:top w:val="nil"/>
              <w:left w:val="nil"/>
              <w:bottom w:val="single" w:sz="8" w:space="0" w:color="auto"/>
              <w:right w:val="nil"/>
            </w:tcBorders>
            <w:tcMar>
              <w:top w:w="0" w:type="dxa"/>
              <w:left w:w="108" w:type="dxa"/>
              <w:bottom w:w="0" w:type="dxa"/>
              <w:right w:w="108" w:type="dxa"/>
            </w:tcMar>
            <w:vAlign w:val="center"/>
            <w:hideMark/>
          </w:tcPr>
          <w:p w14:paraId="5E000C18" w14:textId="77777777" w:rsidR="00B83285" w:rsidRDefault="00B83285">
            <w:pPr>
              <w:jc w:val="center"/>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 </w:t>
            </w:r>
          </w:p>
        </w:tc>
        <w:tc>
          <w:tcPr>
            <w:tcW w:w="1687" w:type="dxa"/>
            <w:tcBorders>
              <w:top w:val="nil"/>
              <w:left w:val="nil"/>
              <w:bottom w:val="single" w:sz="8" w:space="0" w:color="auto"/>
              <w:right w:val="nil"/>
            </w:tcBorders>
            <w:tcMar>
              <w:top w:w="0" w:type="dxa"/>
              <w:left w:w="108" w:type="dxa"/>
              <w:bottom w:w="0" w:type="dxa"/>
              <w:right w:w="108" w:type="dxa"/>
            </w:tcMar>
            <w:vAlign w:val="center"/>
            <w:hideMark/>
          </w:tcPr>
          <w:p w14:paraId="42DCE6C2" w14:textId="77777777" w:rsidR="00B83285" w:rsidRDefault="00B83285">
            <w:pPr>
              <w:jc w:val="center"/>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 </w:t>
            </w:r>
          </w:p>
        </w:tc>
        <w:tc>
          <w:tcPr>
            <w:tcW w:w="1613" w:type="dxa"/>
            <w:tcBorders>
              <w:top w:val="nil"/>
              <w:left w:val="nil"/>
              <w:bottom w:val="single" w:sz="8" w:space="0" w:color="auto"/>
              <w:right w:val="nil"/>
            </w:tcBorders>
            <w:tcMar>
              <w:top w:w="0" w:type="dxa"/>
              <w:left w:w="108" w:type="dxa"/>
              <w:bottom w:w="0" w:type="dxa"/>
              <w:right w:w="108" w:type="dxa"/>
            </w:tcMar>
            <w:vAlign w:val="center"/>
            <w:hideMark/>
          </w:tcPr>
          <w:p w14:paraId="2F8D8BDA" w14:textId="77777777" w:rsidR="00B83285" w:rsidRDefault="00B83285">
            <w:pPr>
              <w:jc w:val="center"/>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 </w:t>
            </w:r>
          </w:p>
        </w:tc>
        <w:tc>
          <w:tcPr>
            <w:tcW w:w="1156" w:type="dxa"/>
            <w:tcBorders>
              <w:top w:val="nil"/>
              <w:left w:val="nil"/>
              <w:bottom w:val="single" w:sz="8" w:space="0" w:color="auto"/>
              <w:right w:val="nil"/>
            </w:tcBorders>
            <w:tcMar>
              <w:top w:w="0" w:type="dxa"/>
              <w:left w:w="108" w:type="dxa"/>
              <w:bottom w:w="0" w:type="dxa"/>
              <w:right w:w="108" w:type="dxa"/>
            </w:tcMar>
            <w:vAlign w:val="center"/>
            <w:hideMark/>
          </w:tcPr>
          <w:p w14:paraId="643AE8D5" w14:textId="77777777" w:rsidR="00B83285" w:rsidRDefault="00B83285">
            <w:pPr>
              <w:jc w:val="center"/>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 </w:t>
            </w:r>
          </w:p>
        </w:tc>
        <w:tc>
          <w:tcPr>
            <w:tcW w:w="450" w:type="dxa"/>
            <w:gridSpan w:val="2"/>
            <w:vAlign w:val="center"/>
            <w:hideMark/>
          </w:tcPr>
          <w:p w14:paraId="43032DE3" w14:textId="77777777" w:rsidR="00B83285" w:rsidRDefault="00B83285">
            <w:pPr>
              <w:rPr>
                <w:rFonts w:ascii="Cambria" w:hAnsi="Cambria"/>
                <w:kern w:val="2"/>
                <w:sz w:val="24"/>
                <w:szCs w:val="24"/>
                <w14:ligatures w14:val="standardContextual"/>
              </w:rPr>
            </w:pPr>
            <w:r>
              <w:rPr>
                <w:rFonts w:ascii="Cambria" w:hAnsi="Cambria"/>
                <w:kern w:val="2"/>
                <w:sz w:val="24"/>
                <w:szCs w:val="24"/>
                <w14:ligatures w14:val="standardContextual"/>
              </w:rPr>
              <w:t> </w:t>
            </w:r>
          </w:p>
        </w:tc>
      </w:tr>
      <w:tr w:rsidR="00B83285" w14:paraId="53D3CEC5" w14:textId="77777777" w:rsidTr="00B83285">
        <w:trPr>
          <w:trHeight w:val="288"/>
        </w:trPr>
        <w:tc>
          <w:tcPr>
            <w:tcW w:w="188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B09E2B" w14:textId="77777777" w:rsidR="00B83285" w:rsidRDefault="00B83285">
            <w:pPr>
              <w:jc w:val="center"/>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Line Item</w:t>
            </w:r>
          </w:p>
        </w:tc>
        <w:tc>
          <w:tcPr>
            <w:tcW w:w="18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B0D62D" w14:textId="77777777" w:rsidR="00B83285" w:rsidRDefault="00B83285">
            <w:pPr>
              <w:jc w:val="center"/>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FYE 2025</w:t>
            </w:r>
          </w:p>
        </w:tc>
        <w:tc>
          <w:tcPr>
            <w:tcW w:w="1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154E3E" w14:textId="77777777" w:rsidR="00B83285" w:rsidRDefault="00B83285">
            <w:pPr>
              <w:jc w:val="center"/>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FYE 2024</w:t>
            </w:r>
          </w:p>
        </w:tc>
        <w:tc>
          <w:tcPr>
            <w:tcW w:w="1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678ED2" w14:textId="77777777" w:rsidR="00B83285" w:rsidRDefault="00B83285">
            <w:pPr>
              <w:jc w:val="center"/>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Change</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DED027" w14:textId="77777777" w:rsidR="00B83285" w:rsidRDefault="00B83285">
            <w:pPr>
              <w:jc w:val="center"/>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 Change</w:t>
            </w:r>
          </w:p>
        </w:tc>
        <w:tc>
          <w:tcPr>
            <w:tcW w:w="450" w:type="dxa"/>
            <w:gridSpan w:val="2"/>
            <w:vAlign w:val="center"/>
            <w:hideMark/>
          </w:tcPr>
          <w:p w14:paraId="3EE4350B" w14:textId="77777777" w:rsidR="00B83285" w:rsidRDefault="00B83285">
            <w:pPr>
              <w:rPr>
                <w:rFonts w:ascii="Cambria" w:hAnsi="Cambria"/>
                <w:kern w:val="2"/>
                <w:sz w:val="24"/>
                <w:szCs w:val="24"/>
                <w14:ligatures w14:val="standardContextual"/>
              </w:rPr>
            </w:pPr>
            <w:r>
              <w:rPr>
                <w:rFonts w:ascii="Cambria" w:hAnsi="Cambria"/>
                <w:kern w:val="2"/>
                <w:sz w:val="24"/>
                <w:szCs w:val="24"/>
                <w14:ligatures w14:val="standardContextual"/>
              </w:rPr>
              <w:t> </w:t>
            </w:r>
          </w:p>
        </w:tc>
      </w:tr>
      <w:tr w:rsidR="00B83285" w14:paraId="53D58407" w14:textId="77777777" w:rsidTr="00B83285">
        <w:trPr>
          <w:trHeight w:val="288"/>
        </w:trPr>
        <w:tc>
          <w:tcPr>
            <w:tcW w:w="0" w:type="auto"/>
            <w:vMerge/>
            <w:tcBorders>
              <w:top w:val="nil"/>
              <w:left w:val="single" w:sz="8" w:space="0" w:color="auto"/>
              <w:bottom w:val="single" w:sz="8" w:space="0" w:color="auto"/>
              <w:right w:val="single" w:sz="8" w:space="0" w:color="auto"/>
            </w:tcBorders>
            <w:vAlign w:val="center"/>
            <w:hideMark/>
          </w:tcPr>
          <w:p w14:paraId="7FB04B5B" w14:textId="77777777" w:rsidR="00B83285" w:rsidRDefault="00B83285">
            <w:pPr>
              <w:rPr>
                <w:rFonts w:ascii="Cambria" w:hAnsi="Cambria"/>
                <w:kern w:val="2"/>
                <w:sz w:val="24"/>
                <w:szCs w:val="24"/>
                <w14:ligatures w14:val="standardContextual"/>
              </w:rPr>
            </w:pPr>
          </w:p>
        </w:tc>
        <w:tc>
          <w:tcPr>
            <w:tcW w:w="18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47E290" w14:textId="77777777" w:rsidR="00B83285" w:rsidRDefault="00B83285">
            <w:pPr>
              <w:jc w:val="center"/>
              <w:rPr>
                <w:kern w:val="2"/>
                <w:sz w:val="24"/>
                <w:szCs w:val="24"/>
                <w14:ligatures w14:val="standardContextual"/>
              </w:rPr>
            </w:pPr>
            <w:r>
              <w:rPr>
                <w:rFonts w:ascii="Baskerville Old Face" w:hAnsi="Baskerville Old Face"/>
                <w:b/>
                <w:bCs/>
                <w:color w:val="000000"/>
                <w:kern w:val="2"/>
                <w:sz w:val="24"/>
                <w:szCs w:val="24"/>
                <w14:ligatures w14:val="standardContextual"/>
              </w:rPr>
              <w:t>Final </w:t>
            </w:r>
          </w:p>
        </w:tc>
        <w:tc>
          <w:tcPr>
            <w:tcW w:w="1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CB7592" w14:textId="77777777" w:rsidR="00B83285" w:rsidRDefault="00B83285">
            <w:pPr>
              <w:jc w:val="center"/>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 Enacted</w:t>
            </w:r>
          </w:p>
        </w:tc>
        <w:tc>
          <w:tcPr>
            <w:tcW w:w="1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6A31EA" w14:textId="77777777" w:rsidR="00B83285" w:rsidRDefault="00B83285">
            <w:pPr>
              <w:jc w:val="center"/>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 FYE25– FYE24</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09A99C" w14:textId="77777777" w:rsidR="00B83285" w:rsidRDefault="00B83285">
            <w:pPr>
              <w:jc w:val="center"/>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FYE25-FYE24</w:t>
            </w:r>
          </w:p>
        </w:tc>
        <w:tc>
          <w:tcPr>
            <w:tcW w:w="450" w:type="dxa"/>
            <w:gridSpan w:val="2"/>
            <w:vAlign w:val="center"/>
            <w:hideMark/>
          </w:tcPr>
          <w:p w14:paraId="0FBCAA14" w14:textId="77777777" w:rsidR="00B83285" w:rsidRDefault="00B83285">
            <w:pPr>
              <w:rPr>
                <w:rFonts w:ascii="Cambria" w:hAnsi="Cambria"/>
                <w:kern w:val="2"/>
                <w:sz w:val="24"/>
                <w:szCs w:val="24"/>
                <w14:ligatures w14:val="standardContextual"/>
              </w:rPr>
            </w:pPr>
            <w:r>
              <w:rPr>
                <w:rFonts w:ascii="Cambria" w:hAnsi="Cambria"/>
                <w:kern w:val="2"/>
                <w:sz w:val="24"/>
                <w:szCs w:val="24"/>
                <w14:ligatures w14:val="standardContextual"/>
              </w:rPr>
              <w:t> </w:t>
            </w:r>
          </w:p>
        </w:tc>
      </w:tr>
      <w:tr w:rsidR="00B83285" w14:paraId="253DB031" w14:textId="77777777" w:rsidTr="00B83285">
        <w:trPr>
          <w:trHeight w:val="288"/>
        </w:trPr>
        <w:tc>
          <w:tcPr>
            <w:tcW w:w="18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36D450" w14:textId="77777777" w:rsidR="00B83285" w:rsidRDefault="00B83285">
            <w:pPr>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DOWNSTATE</w:t>
            </w:r>
          </w:p>
        </w:tc>
        <w:tc>
          <w:tcPr>
            <w:tcW w:w="18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7BDDBF"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 </w:t>
            </w:r>
          </w:p>
        </w:tc>
        <w:tc>
          <w:tcPr>
            <w:tcW w:w="1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F6DCAC"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 </w:t>
            </w:r>
          </w:p>
        </w:tc>
        <w:tc>
          <w:tcPr>
            <w:tcW w:w="1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7CAF18"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 </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55E1E5"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 </w:t>
            </w:r>
          </w:p>
        </w:tc>
        <w:tc>
          <w:tcPr>
            <w:tcW w:w="450" w:type="dxa"/>
            <w:gridSpan w:val="2"/>
            <w:vAlign w:val="center"/>
            <w:hideMark/>
          </w:tcPr>
          <w:p w14:paraId="6DC7CE2E" w14:textId="77777777" w:rsidR="00B83285" w:rsidRDefault="00B83285">
            <w:pPr>
              <w:rPr>
                <w:rFonts w:ascii="Cambria" w:hAnsi="Cambria"/>
                <w:kern w:val="2"/>
                <w:sz w:val="24"/>
                <w:szCs w:val="24"/>
                <w14:ligatures w14:val="standardContextual"/>
              </w:rPr>
            </w:pPr>
            <w:r>
              <w:rPr>
                <w:rFonts w:ascii="Cambria" w:hAnsi="Cambria"/>
                <w:kern w:val="2"/>
                <w:sz w:val="24"/>
                <w:szCs w:val="24"/>
                <w14:ligatures w14:val="standardContextual"/>
              </w:rPr>
              <w:t> </w:t>
            </w:r>
          </w:p>
        </w:tc>
      </w:tr>
      <w:tr w:rsidR="00B83285" w14:paraId="048CE33D" w14:textId="77777777" w:rsidTr="00B83285">
        <w:trPr>
          <w:trHeight w:val="288"/>
        </w:trPr>
        <w:tc>
          <w:tcPr>
            <w:tcW w:w="18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9D0B50" w14:textId="77777777" w:rsidR="00B83285" w:rsidRDefault="00B83285">
            <w:pPr>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 xml:space="preserve">MTA </w:t>
            </w:r>
          </w:p>
        </w:tc>
        <w:tc>
          <w:tcPr>
            <w:tcW w:w="18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C7C8CB"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 xml:space="preserve">$3,178,808,702 </w:t>
            </w:r>
          </w:p>
        </w:tc>
        <w:tc>
          <w:tcPr>
            <w:tcW w:w="1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6EC738"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 xml:space="preserve">$3,081,154,850 </w:t>
            </w:r>
          </w:p>
        </w:tc>
        <w:tc>
          <w:tcPr>
            <w:tcW w:w="1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DA762"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 xml:space="preserve">$97,653,852 </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B0DA0"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3.17%</w:t>
            </w:r>
          </w:p>
        </w:tc>
        <w:tc>
          <w:tcPr>
            <w:tcW w:w="450" w:type="dxa"/>
            <w:gridSpan w:val="2"/>
            <w:vAlign w:val="center"/>
            <w:hideMark/>
          </w:tcPr>
          <w:p w14:paraId="0FF6A7B7" w14:textId="77777777" w:rsidR="00B83285" w:rsidRDefault="00B83285">
            <w:pPr>
              <w:rPr>
                <w:rFonts w:ascii="Cambria" w:hAnsi="Cambria"/>
                <w:kern w:val="2"/>
                <w:sz w:val="24"/>
                <w:szCs w:val="24"/>
                <w14:ligatures w14:val="standardContextual"/>
              </w:rPr>
            </w:pPr>
            <w:r>
              <w:rPr>
                <w:rFonts w:ascii="Cambria" w:hAnsi="Cambria"/>
                <w:kern w:val="2"/>
                <w:sz w:val="24"/>
                <w:szCs w:val="24"/>
                <w14:ligatures w14:val="standardContextual"/>
              </w:rPr>
              <w:t> </w:t>
            </w:r>
          </w:p>
        </w:tc>
      </w:tr>
      <w:tr w:rsidR="00B83285" w14:paraId="63754996" w14:textId="77777777" w:rsidTr="00B83285">
        <w:trPr>
          <w:trHeight w:val="288"/>
        </w:trPr>
        <w:tc>
          <w:tcPr>
            <w:tcW w:w="18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F640C7" w14:textId="77777777" w:rsidR="00B83285" w:rsidRDefault="00B83285">
            <w:pPr>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MTA Rail</w:t>
            </w:r>
          </w:p>
        </w:tc>
        <w:tc>
          <w:tcPr>
            <w:tcW w:w="18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1FCCD0"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1,063,580,300</w:t>
            </w:r>
          </w:p>
        </w:tc>
        <w:tc>
          <w:tcPr>
            <w:tcW w:w="1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011C15"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1,017,286,700</w:t>
            </w:r>
          </w:p>
        </w:tc>
        <w:tc>
          <w:tcPr>
            <w:tcW w:w="1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9F2746"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 xml:space="preserve">46,293,600 </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B27382"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4.55%</w:t>
            </w:r>
          </w:p>
        </w:tc>
        <w:tc>
          <w:tcPr>
            <w:tcW w:w="450" w:type="dxa"/>
            <w:gridSpan w:val="2"/>
            <w:vAlign w:val="center"/>
            <w:hideMark/>
          </w:tcPr>
          <w:p w14:paraId="76061C36" w14:textId="77777777" w:rsidR="00B83285" w:rsidRDefault="00B83285">
            <w:pPr>
              <w:rPr>
                <w:rFonts w:ascii="Cambria" w:hAnsi="Cambria"/>
                <w:kern w:val="2"/>
                <w:sz w:val="24"/>
                <w:szCs w:val="24"/>
                <w14:ligatures w14:val="standardContextual"/>
              </w:rPr>
            </w:pPr>
            <w:r>
              <w:rPr>
                <w:rFonts w:ascii="Cambria" w:hAnsi="Cambria"/>
                <w:kern w:val="2"/>
                <w:sz w:val="24"/>
                <w:szCs w:val="24"/>
                <w14:ligatures w14:val="standardContextual"/>
              </w:rPr>
              <w:t> </w:t>
            </w:r>
          </w:p>
        </w:tc>
      </w:tr>
      <w:tr w:rsidR="00B83285" w14:paraId="51338EB6" w14:textId="77777777" w:rsidTr="00B83285">
        <w:trPr>
          <w:trHeight w:val="288"/>
        </w:trPr>
        <w:tc>
          <w:tcPr>
            <w:tcW w:w="18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94F701" w14:textId="77777777" w:rsidR="00B83285" w:rsidRDefault="00B83285">
            <w:pPr>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MTA Toll Subsidy</w:t>
            </w:r>
          </w:p>
        </w:tc>
        <w:tc>
          <w:tcPr>
            <w:tcW w:w="18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D4B056"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26,000,000</w:t>
            </w:r>
          </w:p>
        </w:tc>
        <w:tc>
          <w:tcPr>
            <w:tcW w:w="1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DBE51"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31,000,000</w:t>
            </w:r>
          </w:p>
        </w:tc>
        <w:tc>
          <w:tcPr>
            <w:tcW w:w="1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FAF28F"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(5,000,000)</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381637"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-16.13%</w:t>
            </w:r>
          </w:p>
        </w:tc>
        <w:tc>
          <w:tcPr>
            <w:tcW w:w="450" w:type="dxa"/>
            <w:gridSpan w:val="2"/>
            <w:vAlign w:val="center"/>
            <w:hideMark/>
          </w:tcPr>
          <w:p w14:paraId="42B913A6" w14:textId="77777777" w:rsidR="00B83285" w:rsidRDefault="00B83285">
            <w:pPr>
              <w:rPr>
                <w:rFonts w:ascii="Cambria" w:hAnsi="Cambria"/>
                <w:kern w:val="2"/>
                <w:sz w:val="24"/>
                <w:szCs w:val="24"/>
                <w14:ligatures w14:val="standardContextual"/>
              </w:rPr>
            </w:pPr>
            <w:r>
              <w:rPr>
                <w:rFonts w:ascii="Cambria" w:hAnsi="Cambria"/>
                <w:kern w:val="2"/>
                <w:sz w:val="24"/>
                <w:szCs w:val="24"/>
                <w14:ligatures w14:val="standardContextual"/>
              </w:rPr>
              <w:t> </w:t>
            </w:r>
          </w:p>
        </w:tc>
      </w:tr>
      <w:tr w:rsidR="00B83285" w14:paraId="5056BC5C" w14:textId="77777777" w:rsidTr="00B83285">
        <w:trPr>
          <w:trHeight w:val="288"/>
        </w:trPr>
        <w:tc>
          <w:tcPr>
            <w:tcW w:w="18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F6B9ED" w14:textId="77777777" w:rsidR="00B83285" w:rsidRDefault="00B83285">
            <w:pPr>
              <w:jc w:val="right"/>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MTA Total (1)</w:t>
            </w:r>
          </w:p>
        </w:tc>
        <w:tc>
          <w:tcPr>
            <w:tcW w:w="18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7A2D3" w14:textId="77777777" w:rsidR="00B83285" w:rsidRDefault="00B83285">
            <w:pPr>
              <w:jc w:val="right"/>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4,268,389,002</w:t>
            </w:r>
          </w:p>
        </w:tc>
        <w:tc>
          <w:tcPr>
            <w:tcW w:w="1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3E3772" w14:textId="77777777" w:rsidR="00B83285" w:rsidRDefault="00B83285">
            <w:pPr>
              <w:jc w:val="right"/>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4,129,441,550</w:t>
            </w:r>
          </w:p>
        </w:tc>
        <w:tc>
          <w:tcPr>
            <w:tcW w:w="1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E1CC23" w14:textId="77777777" w:rsidR="00B83285" w:rsidRDefault="00B83285">
            <w:pPr>
              <w:jc w:val="right"/>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 xml:space="preserve">138,947,452 </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610546" w14:textId="77777777" w:rsidR="00B83285" w:rsidRDefault="00B83285">
            <w:pPr>
              <w:jc w:val="right"/>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3.36%</w:t>
            </w:r>
          </w:p>
        </w:tc>
        <w:tc>
          <w:tcPr>
            <w:tcW w:w="450" w:type="dxa"/>
            <w:gridSpan w:val="2"/>
            <w:vAlign w:val="center"/>
            <w:hideMark/>
          </w:tcPr>
          <w:p w14:paraId="7B142EDD" w14:textId="77777777" w:rsidR="00B83285" w:rsidRDefault="00B83285">
            <w:pPr>
              <w:rPr>
                <w:rFonts w:ascii="Cambria" w:hAnsi="Cambria"/>
                <w:kern w:val="2"/>
                <w:sz w:val="24"/>
                <w:szCs w:val="24"/>
                <w14:ligatures w14:val="standardContextual"/>
              </w:rPr>
            </w:pPr>
            <w:r>
              <w:rPr>
                <w:rFonts w:ascii="Cambria" w:hAnsi="Cambria"/>
                <w:kern w:val="2"/>
                <w:sz w:val="24"/>
                <w:szCs w:val="24"/>
                <w14:ligatures w14:val="standardContextual"/>
              </w:rPr>
              <w:t> </w:t>
            </w:r>
          </w:p>
        </w:tc>
      </w:tr>
      <w:tr w:rsidR="00B83285" w14:paraId="117F6D94" w14:textId="77777777" w:rsidTr="00B83285">
        <w:trPr>
          <w:trHeight w:val="288"/>
        </w:trPr>
        <w:tc>
          <w:tcPr>
            <w:tcW w:w="18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84FACD" w14:textId="77777777" w:rsidR="00B83285" w:rsidRDefault="00B83285">
            <w:pPr>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Rockland</w:t>
            </w:r>
          </w:p>
        </w:tc>
        <w:tc>
          <w:tcPr>
            <w:tcW w:w="1851"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965B18" w14:textId="77777777" w:rsidR="00B83285" w:rsidRDefault="00B83285">
            <w:pPr>
              <w:jc w:val="right"/>
              <w:rPr>
                <w:rFonts w:ascii="Cambria" w:hAnsi="Cambria"/>
                <w:kern w:val="2"/>
                <w:sz w:val="24"/>
                <w:szCs w:val="24"/>
                <w14:ligatures w14:val="standardContextual"/>
              </w:rPr>
            </w:pPr>
            <w:r>
              <w:rPr>
                <w:rFonts w:ascii="Baskerville Old Face" w:hAnsi="Baskerville Old Face"/>
                <w:kern w:val="2"/>
                <w:sz w:val="24"/>
                <w:szCs w:val="24"/>
                <w14:ligatures w14:val="standardContextual"/>
              </w:rPr>
              <w:t>5,981,500</w:t>
            </w:r>
          </w:p>
        </w:tc>
        <w:tc>
          <w:tcPr>
            <w:tcW w:w="1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3192A5"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5,665,400</w:t>
            </w:r>
          </w:p>
        </w:tc>
        <w:tc>
          <w:tcPr>
            <w:tcW w:w="1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D37F22"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 xml:space="preserve">316,100 </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C12839"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5.58%</w:t>
            </w:r>
          </w:p>
        </w:tc>
        <w:tc>
          <w:tcPr>
            <w:tcW w:w="450" w:type="dxa"/>
            <w:gridSpan w:val="2"/>
            <w:vAlign w:val="center"/>
            <w:hideMark/>
          </w:tcPr>
          <w:p w14:paraId="0A30E9A1" w14:textId="77777777" w:rsidR="00B83285" w:rsidRDefault="00B83285">
            <w:pPr>
              <w:rPr>
                <w:rFonts w:ascii="Cambria" w:hAnsi="Cambria"/>
                <w:kern w:val="2"/>
                <w:sz w:val="24"/>
                <w:szCs w:val="24"/>
                <w14:ligatures w14:val="standardContextual"/>
              </w:rPr>
            </w:pPr>
            <w:r>
              <w:rPr>
                <w:rFonts w:ascii="Cambria" w:hAnsi="Cambria"/>
                <w:kern w:val="2"/>
                <w:sz w:val="24"/>
                <w:szCs w:val="24"/>
                <w14:ligatures w14:val="standardContextual"/>
              </w:rPr>
              <w:t> </w:t>
            </w:r>
          </w:p>
        </w:tc>
      </w:tr>
      <w:tr w:rsidR="00B83285" w14:paraId="18EAA65C" w14:textId="77777777" w:rsidTr="00B83285">
        <w:trPr>
          <w:trHeight w:val="288"/>
        </w:trPr>
        <w:tc>
          <w:tcPr>
            <w:tcW w:w="18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9B810F" w14:textId="77777777" w:rsidR="00B83285" w:rsidRDefault="00B83285">
            <w:pPr>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NYC SI Ferry</w:t>
            </w:r>
          </w:p>
        </w:tc>
        <w:tc>
          <w:tcPr>
            <w:tcW w:w="1851"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B3026D" w14:textId="77777777" w:rsidR="00B83285" w:rsidRDefault="00B83285">
            <w:pPr>
              <w:jc w:val="right"/>
              <w:rPr>
                <w:rFonts w:ascii="Cambria" w:hAnsi="Cambria"/>
                <w:kern w:val="2"/>
                <w:sz w:val="24"/>
                <w:szCs w:val="24"/>
                <w14:ligatures w14:val="standardContextual"/>
              </w:rPr>
            </w:pPr>
            <w:r>
              <w:rPr>
                <w:rFonts w:ascii="Baskerville Old Face" w:hAnsi="Baskerville Old Face"/>
                <w:kern w:val="2"/>
                <w:sz w:val="24"/>
                <w:szCs w:val="24"/>
                <w14:ligatures w14:val="standardContextual"/>
              </w:rPr>
              <w:t>58,352,300</w:t>
            </w:r>
          </w:p>
        </w:tc>
        <w:tc>
          <w:tcPr>
            <w:tcW w:w="1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70F19B"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55,268,700</w:t>
            </w:r>
          </w:p>
        </w:tc>
        <w:tc>
          <w:tcPr>
            <w:tcW w:w="1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F19144"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 xml:space="preserve">3,083,600 </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5E9BE5"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5.58%</w:t>
            </w:r>
          </w:p>
        </w:tc>
        <w:tc>
          <w:tcPr>
            <w:tcW w:w="450" w:type="dxa"/>
            <w:gridSpan w:val="2"/>
            <w:vAlign w:val="center"/>
            <w:hideMark/>
          </w:tcPr>
          <w:p w14:paraId="0B8F70E5" w14:textId="77777777" w:rsidR="00B83285" w:rsidRDefault="00B83285">
            <w:pPr>
              <w:rPr>
                <w:rFonts w:ascii="Cambria" w:hAnsi="Cambria"/>
                <w:kern w:val="2"/>
                <w:sz w:val="24"/>
                <w:szCs w:val="24"/>
                <w14:ligatures w14:val="standardContextual"/>
              </w:rPr>
            </w:pPr>
            <w:r>
              <w:rPr>
                <w:rFonts w:ascii="Cambria" w:hAnsi="Cambria"/>
                <w:kern w:val="2"/>
                <w:sz w:val="24"/>
                <w:szCs w:val="24"/>
                <w14:ligatures w14:val="standardContextual"/>
              </w:rPr>
              <w:t> </w:t>
            </w:r>
          </w:p>
        </w:tc>
      </w:tr>
      <w:tr w:rsidR="00B83285" w14:paraId="18016EDC" w14:textId="77777777" w:rsidTr="00B83285">
        <w:trPr>
          <w:trHeight w:val="288"/>
        </w:trPr>
        <w:tc>
          <w:tcPr>
            <w:tcW w:w="18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FCCE7E" w14:textId="77777777" w:rsidR="00B83285" w:rsidRDefault="00B83285">
            <w:pPr>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Westchester</w:t>
            </w:r>
          </w:p>
        </w:tc>
        <w:tc>
          <w:tcPr>
            <w:tcW w:w="17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8AA506" w14:textId="77777777" w:rsidR="00B83285" w:rsidRDefault="00B83285">
            <w:pPr>
              <w:jc w:val="right"/>
              <w:rPr>
                <w:rFonts w:ascii="Cambria" w:hAnsi="Cambria"/>
                <w:kern w:val="2"/>
                <w:sz w:val="24"/>
                <w:szCs w:val="24"/>
                <w14:ligatures w14:val="standardContextual"/>
              </w:rPr>
            </w:pPr>
            <w:r>
              <w:rPr>
                <w:rFonts w:ascii="Baskerville Old Face" w:hAnsi="Baskerville Old Face"/>
                <w:kern w:val="2"/>
                <w:sz w:val="24"/>
                <w:szCs w:val="24"/>
                <w14:ligatures w14:val="standardContextual"/>
              </w:rPr>
              <w:t>97,942,200</w:t>
            </w:r>
          </w:p>
        </w:tc>
        <w:tc>
          <w:tcPr>
            <w:tcW w:w="18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9845D"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92,766,500</w:t>
            </w:r>
          </w:p>
        </w:tc>
        <w:tc>
          <w:tcPr>
            <w:tcW w:w="1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7AB90"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 xml:space="preserve">5,175,700 </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CDB3F7"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5.58%</w:t>
            </w:r>
          </w:p>
        </w:tc>
        <w:tc>
          <w:tcPr>
            <w:tcW w:w="450" w:type="dxa"/>
            <w:gridSpan w:val="2"/>
            <w:vAlign w:val="center"/>
            <w:hideMark/>
          </w:tcPr>
          <w:p w14:paraId="207DDFDA" w14:textId="77777777" w:rsidR="00B83285" w:rsidRDefault="00B83285">
            <w:pPr>
              <w:rPr>
                <w:rFonts w:ascii="Cambria" w:hAnsi="Cambria"/>
                <w:kern w:val="2"/>
                <w:sz w:val="24"/>
                <w:szCs w:val="24"/>
                <w14:ligatures w14:val="standardContextual"/>
              </w:rPr>
            </w:pPr>
            <w:r>
              <w:rPr>
                <w:rFonts w:ascii="Cambria" w:hAnsi="Cambria"/>
                <w:kern w:val="2"/>
                <w:sz w:val="24"/>
                <w:szCs w:val="24"/>
                <w14:ligatures w14:val="standardContextual"/>
              </w:rPr>
              <w:t> </w:t>
            </w:r>
          </w:p>
        </w:tc>
      </w:tr>
      <w:tr w:rsidR="00B83285" w14:paraId="3BF83DFC" w14:textId="77777777" w:rsidTr="00B83285">
        <w:trPr>
          <w:trHeight w:val="288"/>
        </w:trPr>
        <w:tc>
          <w:tcPr>
            <w:tcW w:w="18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06BE66" w14:textId="77777777" w:rsidR="00B83285" w:rsidRDefault="00B83285">
            <w:pPr>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Nassau</w:t>
            </w:r>
          </w:p>
        </w:tc>
        <w:tc>
          <w:tcPr>
            <w:tcW w:w="1851"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C305AE" w14:textId="77777777" w:rsidR="00B83285" w:rsidRDefault="00B83285">
            <w:pPr>
              <w:jc w:val="right"/>
              <w:rPr>
                <w:rFonts w:ascii="Cambria" w:hAnsi="Cambria"/>
                <w:kern w:val="2"/>
                <w:sz w:val="24"/>
                <w:szCs w:val="24"/>
                <w14:ligatures w14:val="standardContextual"/>
              </w:rPr>
            </w:pPr>
            <w:r>
              <w:rPr>
                <w:rFonts w:ascii="Baskerville Old Face" w:hAnsi="Baskerville Old Face"/>
                <w:kern w:val="2"/>
                <w:sz w:val="24"/>
                <w:szCs w:val="24"/>
                <w14:ligatures w14:val="standardContextual"/>
              </w:rPr>
              <w:t>118,459,200</w:t>
            </w:r>
          </w:p>
        </w:tc>
        <w:tc>
          <w:tcPr>
            <w:tcW w:w="1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BDA7A6"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112,199,200</w:t>
            </w:r>
          </w:p>
        </w:tc>
        <w:tc>
          <w:tcPr>
            <w:tcW w:w="1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D55111"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 xml:space="preserve">6,260,000 </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3B0C5"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5.58%</w:t>
            </w:r>
          </w:p>
        </w:tc>
        <w:tc>
          <w:tcPr>
            <w:tcW w:w="450" w:type="dxa"/>
            <w:gridSpan w:val="2"/>
            <w:vAlign w:val="center"/>
            <w:hideMark/>
          </w:tcPr>
          <w:p w14:paraId="0FF16D3C" w14:textId="77777777" w:rsidR="00B83285" w:rsidRDefault="00B83285">
            <w:pPr>
              <w:rPr>
                <w:rFonts w:ascii="Cambria" w:hAnsi="Cambria"/>
                <w:kern w:val="2"/>
                <w:sz w:val="24"/>
                <w:szCs w:val="24"/>
                <w14:ligatures w14:val="standardContextual"/>
              </w:rPr>
            </w:pPr>
            <w:r>
              <w:rPr>
                <w:rFonts w:ascii="Cambria" w:hAnsi="Cambria"/>
                <w:kern w:val="2"/>
                <w:sz w:val="24"/>
                <w:szCs w:val="24"/>
                <w14:ligatures w14:val="standardContextual"/>
              </w:rPr>
              <w:t> </w:t>
            </w:r>
          </w:p>
        </w:tc>
      </w:tr>
      <w:tr w:rsidR="00B83285" w14:paraId="272F17C3" w14:textId="77777777" w:rsidTr="00B83285">
        <w:trPr>
          <w:trHeight w:val="288"/>
        </w:trPr>
        <w:tc>
          <w:tcPr>
            <w:tcW w:w="18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6EC650" w14:textId="77777777" w:rsidR="00B83285" w:rsidRDefault="00B83285">
            <w:pPr>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Suffolk</w:t>
            </w:r>
          </w:p>
        </w:tc>
        <w:tc>
          <w:tcPr>
            <w:tcW w:w="1851"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BAB5C4" w14:textId="77777777" w:rsidR="00B83285" w:rsidRDefault="00B83285">
            <w:pPr>
              <w:jc w:val="right"/>
              <w:rPr>
                <w:rFonts w:ascii="Cambria" w:hAnsi="Cambria"/>
                <w:kern w:val="2"/>
                <w:sz w:val="24"/>
                <w:szCs w:val="24"/>
                <w14:ligatures w14:val="standardContextual"/>
              </w:rPr>
            </w:pPr>
            <w:r>
              <w:rPr>
                <w:rFonts w:ascii="Baskerville Old Face" w:hAnsi="Baskerville Old Face"/>
                <w:kern w:val="2"/>
                <w:sz w:val="24"/>
                <w:szCs w:val="24"/>
                <w14:ligatures w14:val="standardContextual"/>
              </w:rPr>
              <w:t>46,076,300</w:t>
            </w:r>
          </w:p>
        </w:tc>
        <w:tc>
          <w:tcPr>
            <w:tcW w:w="1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DBFDB6"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43,641,400</w:t>
            </w:r>
          </w:p>
        </w:tc>
        <w:tc>
          <w:tcPr>
            <w:tcW w:w="1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A12355"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 xml:space="preserve">2,434,900 </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D54328"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5.58%</w:t>
            </w:r>
          </w:p>
        </w:tc>
        <w:tc>
          <w:tcPr>
            <w:tcW w:w="450" w:type="dxa"/>
            <w:gridSpan w:val="2"/>
            <w:vAlign w:val="center"/>
            <w:hideMark/>
          </w:tcPr>
          <w:p w14:paraId="487E0FC0" w14:textId="77777777" w:rsidR="00B83285" w:rsidRDefault="00B83285">
            <w:pPr>
              <w:rPr>
                <w:rFonts w:ascii="Cambria" w:hAnsi="Cambria"/>
                <w:kern w:val="2"/>
                <w:sz w:val="24"/>
                <w:szCs w:val="24"/>
                <w14:ligatures w14:val="standardContextual"/>
              </w:rPr>
            </w:pPr>
            <w:r>
              <w:rPr>
                <w:rFonts w:ascii="Cambria" w:hAnsi="Cambria"/>
                <w:kern w:val="2"/>
                <w:sz w:val="24"/>
                <w:szCs w:val="24"/>
                <w14:ligatures w14:val="standardContextual"/>
              </w:rPr>
              <w:t> </w:t>
            </w:r>
          </w:p>
        </w:tc>
      </w:tr>
      <w:tr w:rsidR="00B83285" w14:paraId="4D42E87C" w14:textId="77777777" w:rsidTr="00B83285">
        <w:trPr>
          <w:trHeight w:val="288"/>
        </w:trPr>
        <w:tc>
          <w:tcPr>
            <w:tcW w:w="18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4AF539A" w14:textId="77777777" w:rsidR="00B83285" w:rsidRDefault="00B83285">
            <w:pPr>
              <w:rPr>
                <w:rFonts w:ascii="Cambria" w:hAnsi="Cambria"/>
                <w:kern w:val="2"/>
                <w:sz w:val="24"/>
                <w:szCs w:val="24"/>
                <w14:ligatures w14:val="standardContextual"/>
              </w:rPr>
            </w:pPr>
            <w:r>
              <w:rPr>
                <w:rFonts w:ascii="Baskerville Old Face" w:hAnsi="Baskerville Old Face"/>
                <w:kern w:val="2"/>
                <w:sz w:val="24"/>
                <w:szCs w:val="24"/>
                <w14:ligatures w14:val="standardContextual"/>
              </w:rPr>
              <w:t>South Fork Bus Service</w:t>
            </w:r>
          </w:p>
        </w:tc>
        <w:tc>
          <w:tcPr>
            <w:tcW w:w="1851"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272AE3" w14:textId="77777777" w:rsidR="00B83285" w:rsidRDefault="00B83285">
            <w:pPr>
              <w:jc w:val="right"/>
              <w:rPr>
                <w:rFonts w:ascii="Cambria" w:hAnsi="Cambria"/>
                <w:kern w:val="2"/>
                <w:sz w:val="24"/>
                <w:szCs w:val="24"/>
                <w14:ligatures w14:val="standardContextual"/>
              </w:rPr>
            </w:pPr>
            <w:r>
              <w:rPr>
                <w:rFonts w:ascii="Baskerville Old Face" w:hAnsi="Baskerville Old Face"/>
                <w:kern w:val="2"/>
                <w:sz w:val="24"/>
                <w:szCs w:val="24"/>
                <w14:ligatures w14:val="standardContextual"/>
              </w:rPr>
              <w:t>500,000</w:t>
            </w:r>
          </w:p>
        </w:tc>
        <w:tc>
          <w:tcPr>
            <w:tcW w:w="1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52E8B"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750,000</w:t>
            </w:r>
          </w:p>
        </w:tc>
        <w:tc>
          <w:tcPr>
            <w:tcW w:w="1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F74970"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(250,000)</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C91758"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-33.33%</w:t>
            </w:r>
          </w:p>
        </w:tc>
        <w:tc>
          <w:tcPr>
            <w:tcW w:w="450" w:type="dxa"/>
            <w:gridSpan w:val="2"/>
            <w:vAlign w:val="center"/>
            <w:hideMark/>
          </w:tcPr>
          <w:p w14:paraId="679153A6" w14:textId="77777777" w:rsidR="00B83285" w:rsidRDefault="00B83285">
            <w:pPr>
              <w:rPr>
                <w:rFonts w:ascii="Cambria" w:hAnsi="Cambria"/>
                <w:kern w:val="2"/>
                <w:sz w:val="24"/>
                <w:szCs w:val="24"/>
                <w14:ligatures w14:val="standardContextual"/>
              </w:rPr>
            </w:pPr>
            <w:r>
              <w:rPr>
                <w:rFonts w:ascii="Cambria" w:hAnsi="Cambria"/>
                <w:kern w:val="2"/>
                <w:sz w:val="24"/>
                <w:szCs w:val="24"/>
                <w14:ligatures w14:val="standardContextual"/>
              </w:rPr>
              <w:t> </w:t>
            </w:r>
          </w:p>
        </w:tc>
      </w:tr>
      <w:tr w:rsidR="00B83285" w14:paraId="0F6742E9" w14:textId="77777777" w:rsidTr="00B83285">
        <w:trPr>
          <w:trHeight w:val="288"/>
        </w:trPr>
        <w:tc>
          <w:tcPr>
            <w:tcW w:w="18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DDCD71" w14:textId="77777777" w:rsidR="00B83285" w:rsidRDefault="00B83285">
            <w:pPr>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lastRenderedPageBreak/>
              <w:t>NYCDOT</w:t>
            </w:r>
          </w:p>
        </w:tc>
        <w:tc>
          <w:tcPr>
            <w:tcW w:w="1851"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1F2D36" w14:textId="77777777" w:rsidR="00B83285" w:rsidRDefault="00B83285">
            <w:pPr>
              <w:jc w:val="right"/>
              <w:rPr>
                <w:rFonts w:ascii="Cambria" w:hAnsi="Cambria"/>
                <w:kern w:val="2"/>
                <w:sz w:val="24"/>
                <w:szCs w:val="24"/>
                <w14:ligatures w14:val="standardContextual"/>
              </w:rPr>
            </w:pPr>
            <w:r>
              <w:rPr>
                <w:rFonts w:ascii="Baskerville Old Face" w:hAnsi="Baskerville Old Face"/>
                <w:kern w:val="2"/>
                <w:sz w:val="24"/>
                <w:szCs w:val="24"/>
                <w14:ligatures w14:val="standardContextual"/>
              </w:rPr>
              <w:t>155,938,000</w:t>
            </w:r>
          </w:p>
        </w:tc>
        <w:tc>
          <w:tcPr>
            <w:tcW w:w="1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163D32"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147,697,500</w:t>
            </w:r>
          </w:p>
        </w:tc>
        <w:tc>
          <w:tcPr>
            <w:tcW w:w="1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67311"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 xml:space="preserve">8,240,500 </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E92D17"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5.58%</w:t>
            </w:r>
          </w:p>
        </w:tc>
        <w:tc>
          <w:tcPr>
            <w:tcW w:w="450" w:type="dxa"/>
            <w:gridSpan w:val="2"/>
            <w:vAlign w:val="center"/>
            <w:hideMark/>
          </w:tcPr>
          <w:p w14:paraId="2073A3FF" w14:textId="77777777" w:rsidR="00B83285" w:rsidRDefault="00B83285">
            <w:pPr>
              <w:rPr>
                <w:rFonts w:ascii="Cambria" w:hAnsi="Cambria"/>
                <w:kern w:val="2"/>
                <w:sz w:val="24"/>
                <w:szCs w:val="24"/>
                <w14:ligatures w14:val="standardContextual"/>
              </w:rPr>
            </w:pPr>
            <w:r>
              <w:rPr>
                <w:rFonts w:ascii="Cambria" w:hAnsi="Cambria"/>
                <w:kern w:val="2"/>
                <w:sz w:val="24"/>
                <w:szCs w:val="24"/>
                <w14:ligatures w14:val="standardContextual"/>
              </w:rPr>
              <w:t> </w:t>
            </w:r>
          </w:p>
        </w:tc>
      </w:tr>
      <w:tr w:rsidR="00B83285" w14:paraId="60BB7C1A" w14:textId="77777777" w:rsidTr="00B83285">
        <w:trPr>
          <w:trHeight w:val="288"/>
        </w:trPr>
        <w:tc>
          <w:tcPr>
            <w:tcW w:w="18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7E8CE3" w14:textId="77777777" w:rsidR="00B83285" w:rsidRDefault="00B83285">
            <w:pPr>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NYSDOT Trans-Hudson</w:t>
            </w:r>
          </w:p>
        </w:tc>
        <w:tc>
          <w:tcPr>
            <w:tcW w:w="1851"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EF8256" w14:textId="77777777" w:rsidR="00B83285" w:rsidRDefault="00B83285">
            <w:pPr>
              <w:jc w:val="right"/>
              <w:rPr>
                <w:rFonts w:ascii="Cambria" w:hAnsi="Cambria"/>
                <w:kern w:val="2"/>
                <w:sz w:val="24"/>
                <w:szCs w:val="24"/>
                <w14:ligatures w14:val="standardContextual"/>
              </w:rPr>
            </w:pPr>
            <w:r>
              <w:rPr>
                <w:rFonts w:ascii="Baskerville Old Face" w:hAnsi="Baskerville Old Face"/>
                <w:kern w:val="2"/>
                <w:sz w:val="24"/>
                <w:szCs w:val="24"/>
                <w14:ligatures w14:val="standardContextual"/>
              </w:rPr>
              <w:t>11,000,000</w:t>
            </w:r>
          </w:p>
        </w:tc>
        <w:tc>
          <w:tcPr>
            <w:tcW w:w="1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67D49E"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11,000,000</w:t>
            </w:r>
          </w:p>
        </w:tc>
        <w:tc>
          <w:tcPr>
            <w:tcW w:w="1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546DCA"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 xml:space="preserve">0 </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04C7A8"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0.00%</w:t>
            </w:r>
          </w:p>
        </w:tc>
        <w:tc>
          <w:tcPr>
            <w:tcW w:w="450" w:type="dxa"/>
            <w:gridSpan w:val="2"/>
            <w:vAlign w:val="center"/>
            <w:hideMark/>
          </w:tcPr>
          <w:p w14:paraId="1D6C59BD" w14:textId="77777777" w:rsidR="00B83285" w:rsidRDefault="00B83285">
            <w:pPr>
              <w:rPr>
                <w:rFonts w:ascii="Cambria" w:hAnsi="Cambria"/>
                <w:kern w:val="2"/>
                <w:sz w:val="24"/>
                <w:szCs w:val="24"/>
                <w14:ligatures w14:val="standardContextual"/>
              </w:rPr>
            </w:pPr>
            <w:r>
              <w:rPr>
                <w:rFonts w:ascii="Cambria" w:hAnsi="Cambria"/>
                <w:kern w:val="2"/>
                <w:sz w:val="24"/>
                <w:szCs w:val="24"/>
                <w14:ligatures w14:val="standardContextual"/>
              </w:rPr>
              <w:t> </w:t>
            </w:r>
          </w:p>
        </w:tc>
      </w:tr>
      <w:tr w:rsidR="00B83285" w14:paraId="49DFAA71" w14:textId="77777777" w:rsidTr="00B83285">
        <w:trPr>
          <w:trHeight w:val="288"/>
        </w:trPr>
        <w:tc>
          <w:tcPr>
            <w:tcW w:w="18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94E67D" w14:textId="77777777" w:rsidR="00B83285" w:rsidRDefault="00B83285">
            <w:pPr>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Formula</w:t>
            </w:r>
          </w:p>
        </w:tc>
        <w:tc>
          <w:tcPr>
            <w:tcW w:w="1851"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5AF23F" w14:textId="77777777" w:rsidR="00B83285" w:rsidRDefault="00B83285">
            <w:pPr>
              <w:jc w:val="right"/>
              <w:rPr>
                <w:rFonts w:ascii="Cambria" w:hAnsi="Cambria"/>
                <w:kern w:val="2"/>
                <w:sz w:val="24"/>
                <w:szCs w:val="24"/>
                <w14:ligatures w14:val="standardContextual"/>
              </w:rPr>
            </w:pPr>
            <w:r>
              <w:rPr>
                <w:rFonts w:ascii="Baskerville Old Face" w:hAnsi="Baskerville Old Face"/>
                <w:kern w:val="2"/>
                <w:sz w:val="24"/>
                <w:szCs w:val="24"/>
                <w14:ligatures w14:val="standardContextual"/>
              </w:rPr>
              <w:t>56,564,600</w:t>
            </w:r>
          </w:p>
        </w:tc>
        <w:tc>
          <w:tcPr>
            <w:tcW w:w="1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C3481"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53,575,400</w:t>
            </w:r>
          </w:p>
        </w:tc>
        <w:tc>
          <w:tcPr>
            <w:tcW w:w="1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6F5A2"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 xml:space="preserve">2,989,200 </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4A073E"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5.58%</w:t>
            </w:r>
          </w:p>
        </w:tc>
        <w:tc>
          <w:tcPr>
            <w:tcW w:w="450" w:type="dxa"/>
            <w:gridSpan w:val="2"/>
            <w:vAlign w:val="center"/>
            <w:hideMark/>
          </w:tcPr>
          <w:p w14:paraId="2104A2A0" w14:textId="77777777" w:rsidR="00B83285" w:rsidRDefault="00B83285">
            <w:pPr>
              <w:rPr>
                <w:rFonts w:ascii="Cambria" w:hAnsi="Cambria"/>
                <w:kern w:val="2"/>
                <w:sz w:val="24"/>
                <w:szCs w:val="24"/>
                <w14:ligatures w14:val="standardContextual"/>
              </w:rPr>
            </w:pPr>
            <w:r>
              <w:rPr>
                <w:rFonts w:ascii="Cambria" w:hAnsi="Cambria"/>
                <w:kern w:val="2"/>
                <w:sz w:val="24"/>
                <w:szCs w:val="24"/>
                <w14:ligatures w14:val="standardContextual"/>
              </w:rPr>
              <w:t> </w:t>
            </w:r>
          </w:p>
        </w:tc>
      </w:tr>
      <w:tr w:rsidR="00B83285" w14:paraId="3297EC48" w14:textId="77777777" w:rsidTr="00B83285">
        <w:trPr>
          <w:trHeight w:val="288"/>
        </w:trPr>
        <w:tc>
          <w:tcPr>
            <w:tcW w:w="18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9A947C" w14:textId="77777777" w:rsidR="00B83285" w:rsidRDefault="00B83285">
            <w:pPr>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Supplemental</w:t>
            </w:r>
          </w:p>
        </w:tc>
        <w:tc>
          <w:tcPr>
            <w:tcW w:w="1851"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3F0DF2" w14:textId="77777777" w:rsidR="00B83285" w:rsidRDefault="00B83285">
            <w:pPr>
              <w:jc w:val="right"/>
              <w:rPr>
                <w:rFonts w:ascii="Cambria" w:hAnsi="Cambria"/>
                <w:kern w:val="2"/>
                <w:sz w:val="24"/>
                <w:szCs w:val="24"/>
                <w14:ligatures w14:val="standardContextual"/>
              </w:rPr>
            </w:pPr>
            <w:r>
              <w:rPr>
                <w:rFonts w:ascii="Baskerville Old Face" w:hAnsi="Baskerville Old Face"/>
                <w:kern w:val="2"/>
                <w:sz w:val="24"/>
                <w:szCs w:val="24"/>
                <w14:ligatures w14:val="standardContextual"/>
              </w:rPr>
              <w:t>6,200,000</w:t>
            </w:r>
          </w:p>
        </w:tc>
        <w:tc>
          <w:tcPr>
            <w:tcW w:w="1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06DFE4"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6,200,000</w:t>
            </w:r>
          </w:p>
        </w:tc>
        <w:tc>
          <w:tcPr>
            <w:tcW w:w="1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C82C03"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 xml:space="preserve">0 </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4D1E12"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0.00%</w:t>
            </w:r>
          </w:p>
        </w:tc>
        <w:tc>
          <w:tcPr>
            <w:tcW w:w="450" w:type="dxa"/>
            <w:gridSpan w:val="2"/>
            <w:vAlign w:val="center"/>
            <w:hideMark/>
          </w:tcPr>
          <w:p w14:paraId="3C876E1C" w14:textId="77777777" w:rsidR="00B83285" w:rsidRDefault="00B83285">
            <w:pPr>
              <w:rPr>
                <w:rFonts w:ascii="Cambria" w:hAnsi="Cambria"/>
                <w:kern w:val="2"/>
                <w:sz w:val="24"/>
                <w:szCs w:val="24"/>
                <w14:ligatures w14:val="standardContextual"/>
              </w:rPr>
            </w:pPr>
            <w:r>
              <w:rPr>
                <w:rFonts w:ascii="Cambria" w:hAnsi="Cambria"/>
                <w:kern w:val="2"/>
                <w:sz w:val="24"/>
                <w:szCs w:val="24"/>
                <w14:ligatures w14:val="standardContextual"/>
              </w:rPr>
              <w:t> </w:t>
            </w:r>
          </w:p>
        </w:tc>
      </w:tr>
      <w:tr w:rsidR="00B83285" w14:paraId="645E016E" w14:textId="77777777" w:rsidTr="00B83285">
        <w:trPr>
          <w:trHeight w:val="288"/>
        </w:trPr>
        <w:tc>
          <w:tcPr>
            <w:tcW w:w="18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506445" w14:textId="77777777" w:rsidR="00B83285" w:rsidRDefault="00B83285">
            <w:pPr>
              <w:jc w:val="right"/>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Non-MTA Total</w:t>
            </w:r>
          </w:p>
        </w:tc>
        <w:tc>
          <w:tcPr>
            <w:tcW w:w="18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2363EF" w14:textId="77777777" w:rsidR="00B83285" w:rsidRDefault="00B83285">
            <w:pPr>
              <w:jc w:val="right"/>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557,014,100</w:t>
            </w:r>
          </w:p>
        </w:tc>
        <w:tc>
          <w:tcPr>
            <w:tcW w:w="1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BDC2DC" w14:textId="77777777" w:rsidR="00B83285" w:rsidRDefault="00B83285">
            <w:pPr>
              <w:jc w:val="right"/>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528,764,100</w:t>
            </w:r>
          </w:p>
        </w:tc>
        <w:tc>
          <w:tcPr>
            <w:tcW w:w="1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E92F4A" w14:textId="77777777" w:rsidR="00B83285" w:rsidRDefault="00B83285">
            <w:pPr>
              <w:jc w:val="right"/>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 xml:space="preserve">28,250,000 </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7FAA7" w14:textId="77777777" w:rsidR="00B83285" w:rsidRDefault="00B83285">
            <w:pPr>
              <w:jc w:val="right"/>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5.34%</w:t>
            </w:r>
          </w:p>
        </w:tc>
        <w:tc>
          <w:tcPr>
            <w:tcW w:w="450" w:type="dxa"/>
            <w:gridSpan w:val="2"/>
            <w:vAlign w:val="center"/>
            <w:hideMark/>
          </w:tcPr>
          <w:p w14:paraId="7CE7D186" w14:textId="77777777" w:rsidR="00B83285" w:rsidRDefault="00B83285">
            <w:pPr>
              <w:rPr>
                <w:rFonts w:ascii="Cambria" w:hAnsi="Cambria"/>
                <w:kern w:val="2"/>
                <w:sz w:val="24"/>
                <w:szCs w:val="24"/>
                <w14:ligatures w14:val="standardContextual"/>
              </w:rPr>
            </w:pPr>
            <w:r>
              <w:rPr>
                <w:rFonts w:ascii="Cambria" w:hAnsi="Cambria"/>
                <w:kern w:val="2"/>
                <w:sz w:val="24"/>
                <w:szCs w:val="24"/>
                <w14:ligatures w14:val="standardContextual"/>
              </w:rPr>
              <w:t> </w:t>
            </w:r>
          </w:p>
        </w:tc>
      </w:tr>
      <w:tr w:rsidR="00B83285" w14:paraId="73F1C58F" w14:textId="77777777" w:rsidTr="00B83285">
        <w:trPr>
          <w:trHeight w:val="288"/>
        </w:trPr>
        <w:tc>
          <w:tcPr>
            <w:tcW w:w="18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69CDA1" w14:textId="77777777" w:rsidR="00B83285" w:rsidRDefault="00B83285">
            <w:pPr>
              <w:jc w:val="right"/>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Downstate Subtotal</w:t>
            </w:r>
          </w:p>
        </w:tc>
        <w:tc>
          <w:tcPr>
            <w:tcW w:w="18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0245D9" w14:textId="77777777" w:rsidR="00B83285" w:rsidRDefault="00B83285">
            <w:pPr>
              <w:jc w:val="right"/>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4,825,403,102</w:t>
            </w:r>
          </w:p>
        </w:tc>
        <w:tc>
          <w:tcPr>
            <w:tcW w:w="1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3E5DB0" w14:textId="77777777" w:rsidR="00B83285" w:rsidRDefault="00B83285">
            <w:pPr>
              <w:jc w:val="right"/>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4,658,205,650</w:t>
            </w:r>
          </w:p>
        </w:tc>
        <w:tc>
          <w:tcPr>
            <w:tcW w:w="1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9D0A32" w14:textId="77777777" w:rsidR="00B83285" w:rsidRDefault="00B83285">
            <w:pPr>
              <w:jc w:val="right"/>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 xml:space="preserve">167,197,452 </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9CF129" w14:textId="77777777" w:rsidR="00B83285" w:rsidRDefault="00B83285">
            <w:pPr>
              <w:jc w:val="right"/>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3.59%</w:t>
            </w:r>
          </w:p>
        </w:tc>
        <w:tc>
          <w:tcPr>
            <w:tcW w:w="450" w:type="dxa"/>
            <w:gridSpan w:val="2"/>
            <w:vAlign w:val="center"/>
            <w:hideMark/>
          </w:tcPr>
          <w:p w14:paraId="52DC994B" w14:textId="77777777" w:rsidR="00B83285" w:rsidRDefault="00B83285">
            <w:pPr>
              <w:rPr>
                <w:rFonts w:ascii="Cambria" w:hAnsi="Cambria"/>
                <w:kern w:val="2"/>
                <w:sz w:val="24"/>
                <w:szCs w:val="24"/>
                <w14:ligatures w14:val="standardContextual"/>
              </w:rPr>
            </w:pPr>
            <w:r>
              <w:rPr>
                <w:rFonts w:ascii="Cambria" w:hAnsi="Cambria"/>
                <w:kern w:val="2"/>
                <w:sz w:val="24"/>
                <w:szCs w:val="24"/>
                <w14:ligatures w14:val="standardContextual"/>
              </w:rPr>
              <w:t> </w:t>
            </w:r>
          </w:p>
        </w:tc>
      </w:tr>
      <w:tr w:rsidR="00B83285" w14:paraId="437C44E1" w14:textId="77777777" w:rsidTr="00B83285">
        <w:trPr>
          <w:trHeight w:val="288"/>
        </w:trPr>
        <w:tc>
          <w:tcPr>
            <w:tcW w:w="18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34EDB2" w14:textId="77777777" w:rsidR="00B83285" w:rsidRDefault="00B83285">
            <w:pPr>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UPSTATE</w:t>
            </w:r>
          </w:p>
        </w:tc>
        <w:tc>
          <w:tcPr>
            <w:tcW w:w="18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8F8B20"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 </w:t>
            </w:r>
          </w:p>
        </w:tc>
        <w:tc>
          <w:tcPr>
            <w:tcW w:w="1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D90CB7"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 </w:t>
            </w:r>
          </w:p>
        </w:tc>
        <w:tc>
          <w:tcPr>
            <w:tcW w:w="1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C983E6"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 </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D5E9F7"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 </w:t>
            </w:r>
          </w:p>
        </w:tc>
        <w:tc>
          <w:tcPr>
            <w:tcW w:w="450" w:type="dxa"/>
            <w:gridSpan w:val="2"/>
            <w:vAlign w:val="center"/>
            <w:hideMark/>
          </w:tcPr>
          <w:p w14:paraId="4E7D99A6" w14:textId="77777777" w:rsidR="00B83285" w:rsidRDefault="00B83285">
            <w:pPr>
              <w:rPr>
                <w:rFonts w:ascii="Cambria" w:hAnsi="Cambria"/>
                <w:kern w:val="2"/>
                <w:sz w:val="24"/>
                <w:szCs w:val="24"/>
                <w14:ligatures w14:val="standardContextual"/>
              </w:rPr>
            </w:pPr>
            <w:r>
              <w:rPr>
                <w:rFonts w:ascii="Cambria" w:hAnsi="Cambria"/>
                <w:kern w:val="2"/>
                <w:sz w:val="24"/>
                <w:szCs w:val="24"/>
                <w14:ligatures w14:val="standardContextual"/>
              </w:rPr>
              <w:t> </w:t>
            </w:r>
          </w:p>
        </w:tc>
      </w:tr>
      <w:tr w:rsidR="00B83285" w14:paraId="70385FC1" w14:textId="77777777" w:rsidTr="00B83285">
        <w:trPr>
          <w:trHeight w:val="288"/>
        </w:trPr>
        <w:tc>
          <w:tcPr>
            <w:tcW w:w="18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6B41D6" w14:textId="77777777" w:rsidR="00B83285" w:rsidRDefault="00B83285">
            <w:pPr>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CDTA (2)</w:t>
            </w:r>
          </w:p>
        </w:tc>
        <w:tc>
          <w:tcPr>
            <w:tcW w:w="1851"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C956E7" w14:textId="77777777" w:rsidR="00B83285" w:rsidRDefault="00B83285">
            <w:pPr>
              <w:jc w:val="center"/>
              <w:rPr>
                <w:rFonts w:ascii="Cambria" w:hAnsi="Cambria"/>
                <w:kern w:val="2"/>
                <w:sz w:val="24"/>
                <w:szCs w:val="24"/>
                <w14:ligatures w14:val="standardContextual"/>
              </w:rPr>
            </w:pPr>
            <w:r>
              <w:rPr>
                <w:rFonts w:ascii="Baskerville Old Face" w:hAnsi="Baskerville Old Face"/>
                <w:kern w:val="2"/>
                <w:sz w:val="24"/>
                <w:szCs w:val="24"/>
                <w14:ligatures w14:val="standardContextual"/>
              </w:rPr>
              <w:t>      65,975,400</w:t>
            </w:r>
          </w:p>
        </w:tc>
        <w:tc>
          <w:tcPr>
            <w:tcW w:w="1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17C38A"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59,161,500</w:t>
            </w:r>
          </w:p>
        </w:tc>
        <w:tc>
          <w:tcPr>
            <w:tcW w:w="1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B58D5B"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 xml:space="preserve">4,833,600 </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FC983B"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11.52%</w:t>
            </w:r>
          </w:p>
        </w:tc>
        <w:tc>
          <w:tcPr>
            <w:tcW w:w="450" w:type="dxa"/>
            <w:gridSpan w:val="2"/>
            <w:vAlign w:val="center"/>
            <w:hideMark/>
          </w:tcPr>
          <w:p w14:paraId="7F68BD70" w14:textId="77777777" w:rsidR="00B83285" w:rsidRDefault="00B83285">
            <w:pPr>
              <w:rPr>
                <w:rFonts w:ascii="Cambria" w:hAnsi="Cambria"/>
                <w:kern w:val="2"/>
                <w:sz w:val="24"/>
                <w:szCs w:val="24"/>
                <w14:ligatures w14:val="standardContextual"/>
              </w:rPr>
            </w:pPr>
            <w:r>
              <w:rPr>
                <w:rFonts w:ascii="Cambria" w:hAnsi="Cambria"/>
                <w:kern w:val="2"/>
                <w:sz w:val="24"/>
                <w:szCs w:val="24"/>
                <w14:ligatures w14:val="standardContextual"/>
              </w:rPr>
              <w:t> </w:t>
            </w:r>
          </w:p>
        </w:tc>
      </w:tr>
      <w:tr w:rsidR="00B83285" w14:paraId="2CA6D6AC" w14:textId="77777777" w:rsidTr="00B83285">
        <w:trPr>
          <w:trHeight w:val="288"/>
        </w:trPr>
        <w:tc>
          <w:tcPr>
            <w:tcW w:w="18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BE68DF" w14:textId="77777777" w:rsidR="00B83285" w:rsidRDefault="00B83285">
            <w:pPr>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CNYRTA</w:t>
            </w:r>
          </w:p>
        </w:tc>
        <w:tc>
          <w:tcPr>
            <w:tcW w:w="1851"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CA134B" w14:textId="77777777" w:rsidR="00B83285" w:rsidRDefault="00B83285">
            <w:pPr>
              <w:jc w:val="center"/>
              <w:rPr>
                <w:rFonts w:ascii="Cambria" w:hAnsi="Cambria"/>
                <w:kern w:val="2"/>
                <w:sz w:val="24"/>
                <w:szCs w:val="24"/>
                <w14:ligatures w14:val="standardContextual"/>
              </w:rPr>
            </w:pPr>
            <w:r>
              <w:rPr>
                <w:rFonts w:ascii="Baskerville Old Face" w:hAnsi="Baskerville Old Face"/>
                <w:kern w:val="2"/>
                <w:sz w:val="24"/>
                <w:szCs w:val="24"/>
                <w14:ligatures w14:val="standardContextual"/>
              </w:rPr>
              <w:t>      53,804,100</w:t>
            </w:r>
          </w:p>
        </w:tc>
        <w:tc>
          <w:tcPr>
            <w:tcW w:w="1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30DBE"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49,515,300</w:t>
            </w:r>
          </w:p>
        </w:tc>
        <w:tc>
          <w:tcPr>
            <w:tcW w:w="1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4328A3"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 xml:space="preserve">2,673,800 </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7ABD60"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8.86%</w:t>
            </w:r>
          </w:p>
        </w:tc>
        <w:tc>
          <w:tcPr>
            <w:tcW w:w="450" w:type="dxa"/>
            <w:gridSpan w:val="2"/>
            <w:vAlign w:val="center"/>
            <w:hideMark/>
          </w:tcPr>
          <w:p w14:paraId="4EBFBC47" w14:textId="77777777" w:rsidR="00B83285" w:rsidRDefault="00B83285">
            <w:pPr>
              <w:rPr>
                <w:rFonts w:ascii="Cambria" w:hAnsi="Cambria"/>
                <w:kern w:val="2"/>
                <w:sz w:val="24"/>
                <w:szCs w:val="24"/>
                <w14:ligatures w14:val="standardContextual"/>
              </w:rPr>
            </w:pPr>
            <w:r>
              <w:rPr>
                <w:rFonts w:ascii="Cambria" w:hAnsi="Cambria"/>
                <w:kern w:val="2"/>
                <w:sz w:val="24"/>
                <w:szCs w:val="24"/>
                <w14:ligatures w14:val="standardContextual"/>
              </w:rPr>
              <w:t> </w:t>
            </w:r>
          </w:p>
        </w:tc>
      </w:tr>
      <w:tr w:rsidR="00B83285" w14:paraId="437F3E51" w14:textId="77777777" w:rsidTr="00B83285">
        <w:trPr>
          <w:trHeight w:val="288"/>
        </w:trPr>
        <w:tc>
          <w:tcPr>
            <w:tcW w:w="18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864706" w14:textId="77777777" w:rsidR="00B83285" w:rsidRDefault="00B83285">
            <w:pPr>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RGRTA</w:t>
            </w:r>
          </w:p>
        </w:tc>
        <w:tc>
          <w:tcPr>
            <w:tcW w:w="1851"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5F700C" w14:textId="77777777" w:rsidR="00B83285" w:rsidRDefault="00B83285">
            <w:pPr>
              <w:jc w:val="right"/>
              <w:rPr>
                <w:rFonts w:ascii="Cambria" w:hAnsi="Cambria"/>
                <w:kern w:val="2"/>
                <w:sz w:val="24"/>
                <w:szCs w:val="24"/>
                <w14:ligatures w14:val="standardContextual"/>
              </w:rPr>
            </w:pPr>
            <w:r>
              <w:rPr>
                <w:rFonts w:ascii="Baskerville Old Face" w:hAnsi="Baskerville Old Face"/>
                <w:kern w:val="2"/>
                <w:sz w:val="24"/>
                <w:szCs w:val="24"/>
                <w14:ligatures w14:val="standardContextual"/>
              </w:rPr>
              <w:t>65,329,400</w:t>
            </w:r>
          </w:p>
        </w:tc>
        <w:tc>
          <w:tcPr>
            <w:tcW w:w="1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A3F0D"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60,121,900</w:t>
            </w:r>
          </w:p>
        </w:tc>
        <w:tc>
          <w:tcPr>
            <w:tcW w:w="1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317C29"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 xml:space="preserve">3,246,600 </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7511B4"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8.86%</w:t>
            </w:r>
          </w:p>
        </w:tc>
        <w:tc>
          <w:tcPr>
            <w:tcW w:w="450" w:type="dxa"/>
            <w:gridSpan w:val="2"/>
            <w:vAlign w:val="center"/>
            <w:hideMark/>
          </w:tcPr>
          <w:p w14:paraId="0D34F3F2" w14:textId="77777777" w:rsidR="00B83285" w:rsidRDefault="00B83285">
            <w:pPr>
              <w:rPr>
                <w:rFonts w:ascii="Cambria" w:hAnsi="Cambria"/>
                <w:kern w:val="2"/>
                <w:sz w:val="24"/>
                <w:szCs w:val="24"/>
                <w14:ligatures w14:val="standardContextual"/>
              </w:rPr>
            </w:pPr>
            <w:r>
              <w:rPr>
                <w:rFonts w:ascii="Cambria" w:hAnsi="Cambria"/>
                <w:kern w:val="2"/>
                <w:sz w:val="24"/>
                <w:szCs w:val="24"/>
                <w14:ligatures w14:val="standardContextual"/>
              </w:rPr>
              <w:t> </w:t>
            </w:r>
          </w:p>
        </w:tc>
      </w:tr>
      <w:tr w:rsidR="00B83285" w14:paraId="12917AB0" w14:textId="77777777" w:rsidTr="00B83285">
        <w:trPr>
          <w:trHeight w:val="288"/>
        </w:trPr>
        <w:tc>
          <w:tcPr>
            <w:tcW w:w="18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867422" w14:textId="77777777" w:rsidR="00B83285" w:rsidRDefault="00B83285">
            <w:pPr>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 xml:space="preserve">NFTA </w:t>
            </w:r>
          </w:p>
        </w:tc>
        <w:tc>
          <w:tcPr>
            <w:tcW w:w="1851"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21F37F" w14:textId="77777777" w:rsidR="00B83285" w:rsidRDefault="00B83285">
            <w:pPr>
              <w:jc w:val="right"/>
              <w:rPr>
                <w:rFonts w:ascii="Cambria" w:hAnsi="Cambria"/>
                <w:kern w:val="2"/>
                <w:sz w:val="24"/>
                <w:szCs w:val="24"/>
                <w14:ligatures w14:val="standardContextual"/>
              </w:rPr>
            </w:pPr>
            <w:r>
              <w:rPr>
                <w:rFonts w:ascii="Baskerville Old Face" w:hAnsi="Baskerville Old Face"/>
                <w:kern w:val="2"/>
                <w:sz w:val="24"/>
                <w:szCs w:val="24"/>
                <w14:ligatures w14:val="standardContextual"/>
              </w:rPr>
              <w:t>84,864,400</w:t>
            </w:r>
          </w:p>
        </w:tc>
        <w:tc>
          <w:tcPr>
            <w:tcW w:w="1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7435A"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78,099,800</w:t>
            </w:r>
          </w:p>
        </w:tc>
        <w:tc>
          <w:tcPr>
            <w:tcW w:w="1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2FA2F8"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 xml:space="preserve">4,217,400 </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8BE4AD"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8.86%</w:t>
            </w:r>
          </w:p>
        </w:tc>
        <w:tc>
          <w:tcPr>
            <w:tcW w:w="450" w:type="dxa"/>
            <w:gridSpan w:val="2"/>
            <w:vAlign w:val="center"/>
            <w:hideMark/>
          </w:tcPr>
          <w:p w14:paraId="44D09FDB" w14:textId="77777777" w:rsidR="00B83285" w:rsidRDefault="00B83285">
            <w:pPr>
              <w:rPr>
                <w:rFonts w:ascii="Cambria" w:hAnsi="Cambria"/>
                <w:kern w:val="2"/>
                <w:sz w:val="24"/>
                <w:szCs w:val="24"/>
                <w14:ligatures w14:val="standardContextual"/>
              </w:rPr>
            </w:pPr>
            <w:r>
              <w:rPr>
                <w:rFonts w:ascii="Cambria" w:hAnsi="Cambria"/>
                <w:kern w:val="2"/>
                <w:sz w:val="24"/>
                <w:szCs w:val="24"/>
                <w14:ligatures w14:val="standardContextual"/>
              </w:rPr>
              <w:t> </w:t>
            </w:r>
          </w:p>
        </w:tc>
      </w:tr>
      <w:tr w:rsidR="00B83285" w14:paraId="669B5487" w14:textId="77777777" w:rsidTr="00B83285">
        <w:trPr>
          <w:trHeight w:val="288"/>
        </w:trPr>
        <w:tc>
          <w:tcPr>
            <w:tcW w:w="18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1C7B84" w14:textId="77777777" w:rsidR="00B83285" w:rsidRDefault="00B83285">
            <w:pPr>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Formula (2)</w:t>
            </w:r>
          </w:p>
        </w:tc>
        <w:tc>
          <w:tcPr>
            <w:tcW w:w="1851"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BB5F07" w14:textId="77777777" w:rsidR="00B83285" w:rsidRDefault="00B83285">
            <w:pPr>
              <w:jc w:val="right"/>
              <w:rPr>
                <w:rFonts w:ascii="Cambria" w:hAnsi="Cambria"/>
                <w:kern w:val="2"/>
                <w:sz w:val="24"/>
                <w:szCs w:val="24"/>
                <w14:ligatures w14:val="standardContextual"/>
              </w:rPr>
            </w:pPr>
            <w:r>
              <w:rPr>
                <w:rFonts w:ascii="Baskerville Old Face" w:hAnsi="Baskerville Old Face"/>
                <w:kern w:val="2"/>
                <w:sz w:val="24"/>
                <w:szCs w:val="24"/>
                <w14:ligatures w14:val="standardContextual"/>
              </w:rPr>
              <w:t>63,189,000</w:t>
            </w:r>
          </w:p>
        </w:tc>
        <w:tc>
          <w:tcPr>
            <w:tcW w:w="1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3974EC"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59,707,100</w:t>
            </w:r>
          </w:p>
        </w:tc>
        <w:tc>
          <w:tcPr>
            <w:tcW w:w="1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7525C"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 xml:space="preserve">1,585,300 </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2F57FC"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5.83%</w:t>
            </w:r>
          </w:p>
        </w:tc>
        <w:tc>
          <w:tcPr>
            <w:tcW w:w="450" w:type="dxa"/>
            <w:gridSpan w:val="2"/>
            <w:vAlign w:val="center"/>
            <w:hideMark/>
          </w:tcPr>
          <w:p w14:paraId="254F19BE" w14:textId="77777777" w:rsidR="00B83285" w:rsidRDefault="00B83285">
            <w:pPr>
              <w:rPr>
                <w:rFonts w:ascii="Cambria" w:hAnsi="Cambria"/>
                <w:kern w:val="2"/>
                <w:sz w:val="24"/>
                <w:szCs w:val="24"/>
                <w14:ligatures w14:val="standardContextual"/>
              </w:rPr>
            </w:pPr>
            <w:r>
              <w:rPr>
                <w:rFonts w:ascii="Cambria" w:hAnsi="Cambria"/>
                <w:kern w:val="2"/>
                <w:sz w:val="24"/>
                <w:szCs w:val="24"/>
                <w14:ligatures w14:val="standardContextual"/>
              </w:rPr>
              <w:t> </w:t>
            </w:r>
          </w:p>
        </w:tc>
      </w:tr>
      <w:tr w:rsidR="00B83285" w14:paraId="6E1176BE" w14:textId="77777777" w:rsidTr="00B83285">
        <w:trPr>
          <w:trHeight w:val="288"/>
        </w:trPr>
        <w:tc>
          <w:tcPr>
            <w:tcW w:w="18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06BC52" w14:textId="77777777" w:rsidR="00B83285" w:rsidRDefault="00B83285">
            <w:pPr>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Supplemental</w:t>
            </w:r>
          </w:p>
        </w:tc>
        <w:tc>
          <w:tcPr>
            <w:tcW w:w="18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738A9A"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2,800,000</w:t>
            </w:r>
          </w:p>
        </w:tc>
        <w:tc>
          <w:tcPr>
            <w:tcW w:w="1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9916AD"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2,800,000</w:t>
            </w:r>
          </w:p>
        </w:tc>
        <w:tc>
          <w:tcPr>
            <w:tcW w:w="1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07D7CB"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 xml:space="preserve">0 </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EE64A2" w14:textId="77777777" w:rsidR="00B83285" w:rsidRDefault="00B83285">
            <w:pPr>
              <w:jc w:val="right"/>
              <w:rPr>
                <w:rFonts w:ascii="Cambria" w:hAnsi="Cambria"/>
                <w:kern w:val="2"/>
                <w:sz w:val="24"/>
                <w:szCs w:val="24"/>
                <w14:ligatures w14:val="standardContextual"/>
              </w:rPr>
            </w:pPr>
            <w:r>
              <w:rPr>
                <w:rFonts w:ascii="Baskerville Old Face" w:hAnsi="Baskerville Old Face"/>
                <w:color w:val="000000"/>
                <w:kern w:val="2"/>
                <w:sz w:val="24"/>
                <w:szCs w:val="24"/>
                <w14:ligatures w14:val="standardContextual"/>
              </w:rPr>
              <w:t>0.00%</w:t>
            </w:r>
          </w:p>
        </w:tc>
        <w:tc>
          <w:tcPr>
            <w:tcW w:w="450" w:type="dxa"/>
            <w:gridSpan w:val="2"/>
            <w:vAlign w:val="center"/>
            <w:hideMark/>
          </w:tcPr>
          <w:p w14:paraId="7F97652D" w14:textId="77777777" w:rsidR="00B83285" w:rsidRDefault="00B83285">
            <w:pPr>
              <w:rPr>
                <w:rFonts w:ascii="Cambria" w:hAnsi="Cambria"/>
                <w:kern w:val="2"/>
                <w:sz w:val="24"/>
                <w:szCs w:val="24"/>
                <w14:ligatures w14:val="standardContextual"/>
              </w:rPr>
            </w:pPr>
            <w:r>
              <w:rPr>
                <w:rFonts w:ascii="Cambria" w:hAnsi="Cambria"/>
                <w:kern w:val="2"/>
                <w:sz w:val="24"/>
                <w:szCs w:val="24"/>
                <w14:ligatures w14:val="standardContextual"/>
              </w:rPr>
              <w:t> </w:t>
            </w:r>
          </w:p>
        </w:tc>
      </w:tr>
      <w:tr w:rsidR="00B83285" w14:paraId="0E3F530F" w14:textId="77777777" w:rsidTr="00B83285">
        <w:trPr>
          <w:trHeight w:val="288"/>
        </w:trPr>
        <w:tc>
          <w:tcPr>
            <w:tcW w:w="18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5398E" w14:textId="77777777" w:rsidR="00B83285" w:rsidRDefault="00B83285">
            <w:pPr>
              <w:jc w:val="right"/>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Upstate Subtotal</w:t>
            </w:r>
          </w:p>
        </w:tc>
        <w:tc>
          <w:tcPr>
            <w:tcW w:w="18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7DD107" w14:textId="77777777" w:rsidR="00B83285" w:rsidRDefault="00B83285">
            <w:pPr>
              <w:jc w:val="right"/>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335,962,300</w:t>
            </w:r>
          </w:p>
        </w:tc>
        <w:tc>
          <w:tcPr>
            <w:tcW w:w="1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8EE95" w14:textId="77777777" w:rsidR="00B83285" w:rsidRDefault="00B83285">
            <w:pPr>
              <w:jc w:val="right"/>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309,405,600</w:t>
            </w:r>
          </w:p>
        </w:tc>
        <w:tc>
          <w:tcPr>
            <w:tcW w:w="1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5997A" w14:textId="77777777" w:rsidR="00B83285" w:rsidRDefault="00B83285">
            <w:pPr>
              <w:jc w:val="right"/>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 xml:space="preserve">26,656,700 </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8DC4DF" w14:textId="77777777" w:rsidR="00B83285" w:rsidRDefault="00B83285">
            <w:pPr>
              <w:jc w:val="right"/>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8.58%</w:t>
            </w:r>
          </w:p>
        </w:tc>
        <w:tc>
          <w:tcPr>
            <w:tcW w:w="450" w:type="dxa"/>
            <w:gridSpan w:val="2"/>
            <w:vAlign w:val="center"/>
            <w:hideMark/>
          </w:tcPr>
          <w:p w14:paraId="39C679E7" w14:textId="77777777" w:rsidR="00B83285" w:rsidRDefault="00B83285">
            <w:pPr>
              <w:rPr>
                <w:rFonts w:ascii="Cambria" w:hAnsi="Cambria"/>
                <w:kern w:val="2"/>
                <w:sz w:val="24"/>
                <w:szCs w:val="24"/>
                <w14:ligatures w14:val="standardContextual"/>
              </w:rPr>
            </w:pPr>
            <w:r>
              <w:rPr>
                <w:rFonts w:ascii="Cambria" w:hAnsi="Cambria"/>
                <w:kern w:val="2"/>
                <w:sz w:val="24"/>
                <w:szCs w:val="24"/>
                <w14:ligatures w14:val="standardContextual"/>
              </w:rPr>
              <w:t> </w:t>
            </w:r>
          </w:p>
        </w:tc>
      </w:tr>
      <w:tr w:rsidR="00B83285" w14:paraId="78B346B1" w14:textId="77777777" w:rsidTr="00B83285">
        <w:trPr>
          <w:trHeight w:val="288"/>
        </w:trPr>
        <w:tc>
          <w:tcPr>
            <w:tcW w:w="18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622C82" w14:textId="77777777" w:rsidR="00B83285" w:rsidRDefault="00B83285">
            <w:pPr>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STOA Total</w:t>
            </w:r>
          </w:p>
        </w:tc>
        <w:tc>
          <w:tcPr>
            <w:tcW w:w="18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24AB3" w14:textId="77777777" w:rsidR="00B83285" w:rsidRDefault="00B83285">
            <w:pPr>
              <w:jc w:val="right"/>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 xml:space="preserve">$5,161,365,402 </w:t>
            </w:r>
          </w:p>
        </w:tc>
        <w:tc>
          <w:tcPr>
            <w:tcW w:w="1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875D6" w14:textId="77777777" w:rsidR="00B83285" w:rsidRDefault="00B83285">
            <w:pPr>
              <w:jc w:val="right"/>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 xml:space="preserve">$4,967,611,250 </w:t>
            </w:r>
          </w:p>
        </w:tc>
        <w:tc>
          <w:tcPr>
            <w:tcW w:w="1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D9785" w14:textId="77777777" w:rsidR="00B83285" w:rsidRDefault="00B83285">
            <w:pPr>
              <w:jc w:val="right"/>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 xml:space="preserve">$193,754,152 </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A77B2" w14:textId="77777777" w:rsidR="00B83285" w:rsidRDefault="00B83285">
            <w:pPr>
              <w:jc w:val="right"/>
              <w:rPr>
                <w:rFonts w:ascii="Cambria" w:hAnsi="Cambria"/>
                <w:kern w:val="2"/>
                <w:sz w:val="24"/>
                <w:szCs w:val="24"/>
                <w14:ligatures w14:val="standardContextual"/>
              </w:rPr>
            </w:pPr>
            <w:r>
              <w:rPr>
                <w:rFonts w:ascii="Baskerville Old Face" w:hAnsi="Baskerville Old Face"/>
                <w:b/>
                <w:bCs/>
                <w:color w:val="000000"/>
                <w:kern w:val="2"/>
                <w:sz w:val="24"/>
                <w:szCs w:val="24"/>
                <w14:ligatures w14:val="standardContextual"/>
              </w:rPr>
              <w:t>3.90%</w:t>
            </w:r>
          </w:p>
        </w:tc>
        <w:tc>
          <w:tcPr>
            <w:tcW w:w="450" w:type="dxa"/>
            <w:gridSpan w:val="2"/>
            <w:vAlign w:val="center"/>
            <w:hideMark/>
          </w:tcPr>
          <w:p w14:paraId="485ED236" w14:textId="77777777" w:rsidR="00B83285" w:rsidRDefault="00B83285">
            <w:pPr>
              <w:rPr>
                <w:rFonts w:ascii="Cambria" w:hAnsi="Cambria"/>
                <w:kern w:val="2"/>
                <w:sz w:val="24"/>
                <w:szCs w:val="24"/>
                <w14:ligatures w14:val="standardContextual"/>
              </w:rPr>
            </w:pPr>
            <w:r>
              <w:rPr>
                <w:rFonts w:ascii="Cambria" w:hAnsi="Cambria"/>
                <w:kern w:val="2"/>
                <w:sz w:val="24"/>
                <w:szCs w:val="24"/>
                <w14:ligatures w14:val="standardContextual"/>
              </w:rPr>
              <w:t> </w:t>
            </w:r>
          </w:p>
        </w:tc>
      </w:tr>
      <w:tr w:rsidR="00B83285" w14:paraId="02AC7B79" w14:textId="77777777" w:rsidTr="00B83285">
        <w:trPr>
          <w:trHeight w:val="288"/>
        </w:trPr>
        <w:tc>
          <w:tcPr>
            <w:tcW w:w="1889" w:type="dxa"/>
            <w:noWrap/>
            <w:tcMar>
              <w:top w:w="0" w:type="dxa"/>
              <w:left w:w="108" w:type="dxa"/>
              <w:bottom w:w="0" w:type="dxa"/>
              <w:right w:w="108" w:type="dxa"/>
            </w:tcMar>
            <w:vAlign w:val="bottom"/>
            <w:hideMark/>
          </w:tcPr>
          <w:p w14:paraId="10ABF5C8" w14:textId="77777777" w:rsidR="00B83285" w:rsidRDefault="00B83285">
            <w:pPr>
              <w:rPr>
                <w:rFonts w:ascii="Cambria" w:hAnsi="Cambria"/>
                <w:kern w:val="2"/>
                <w:sz w:val="24"/>
                <w:szCs w:val="24"/>
                <w14:ligatures w14:val="standardContextual"/>
              </w:rPr>
            </w:pPr>
          </w:p>
        </w:tc>
        <w:tc>
          <w:tcPr>
            <w:tcW w:w="1851" w:type="dxa"/>
            <w:gridSpan w:val="2"/>
            <w:noWrap/>
            <w:tcMar>
              <w:top w:w="0" w:type="dxa"/>
              <w:left w:w="108" w:type="dxa"/>
              <w:bottom w:w="0" w:type="dxa"/>
              <w:right w:w="108" w:type="dxa"/>
            </w:tcMar>
            <w:vAlign w:val="bottom"/>
            <w:hideMark/>
          </w:tcPr>
          <w:p w14:paraId="3000A856" w14:textId="77777777" w:rsidR="00B83285" w:rsidRDefault="00B83285">
            <w:pPr>
              <w:rPr>
                <w:rFonts w:asciiTheme="minorHAnsi" w:hAnsiTheme="minorHAnsi" w:cstheme="minorBidi"/>
                <w:sz w:val="20"/>
                <w:szCs w:val="20"/>
              </w:rPr>
            </w:pPr>
          </w:p>
        </w:tc>
        <w:tc>
          <w:tcPr>
            <w:tcW w:w="1687" w:type="dxa"/>
            <w:noWrap/>
            <w:tcMar>
              <w:top w:w="0" w:type="dxa"/>
              <w:left w:w="108" w:type="dxa"/>
              <w:bottom w:w="0" w:type="dxa"/>
              <w:right w:w="108" w:type="dxa"/>
            </w:tcMar>
            <w:vAlign w:val="bottom"/>
            <w:hideMark/>
          </w:tcPr>
          <w:p w14:paraId="2446CB4D" w14:textId="77777777" w:rsidR="00B83285" w:rsidRDefault="00B83285">
            <w:pPr>
              <w:rPr>
                <w:rFonts w:asciiTheme="minorHAnsi" w:hAnsiTheme="minorHAnsi" w:cstheme="minorBidi"/>
                <w:sz w:val="20"/>
                <w:szCs w:val="20"/>
              </w:rPr>
            </w:pPr>
          </w:p>
        </w:tc>
        <w:tc>
          <w:tcPr>
            <w:tcW w:w="1613" w:type="dxa"/>
            <w:noWrap/>
            <w:tcMar>
              <w:top w:w="0" w:type="dxa"/>
              <w:left w:w="108" w:type="dxa"/>
              <w:bottom w:w="0" w:type="dxa"/>
              <w:right w:w="108" w:type="dxa"/>
            </w:tcMar>
            <w:vAlign w:val="bottom"/>
            <w:hideMark/>
          </w:tcPr>
          <w:p w14:paraId="4AF21D91" w14:textId="77777777" w:rsidR="00B83285" w:rsidRDefault="00B83285">
            <w:pPr>
              <w:rPr>
                <w:rFonts w:asciiTheme="minorHAnsi" w:hAnsiTheme="minorHAnsi" w:cstheme="minorBidi"/>
                <w:sz w:val="20"/>
                <w:szCs w:val="20"/>
              </w:rPr>
            </w:pPr>
          </w:p>
        </w:tc>
        <w:tc>
          <w:tcPr>
            <w:tcW w:w="1156" w:type="dxa"/>
            <w:noWrap/>
            <w:tcMar>
              <w:top w:w="0" w:type="dxa"/>
              <w:left w:w="108" w:type="dxa"/>
              <w:bottom w:w="0" w:type="dxa"/>
              <w:right w:w="108" w:type="dxa"/>
            </w:tcMar>
            <w:vAlign w:val="bottom"/>
            <w:hideMark/>
          </w:tcPr>
          <w:p w14:paraId="4565204A" w14:textId="77777777" w:rsidR="00B83285" w:rsidRDefault="00B83285">
            <w:pPr>
              <w:rPr>
                <w:rFonts w:asciiTheme="minorHAnsi" w:hAnsiTheme="minorHAnsi" w:cstheme="minorBidi"/>
                <w:sz w:val="20"/>
                <w:szCs w:val="20"/>
              </w:rPr>
            </w:pPr>
          </w:p>
        </w:tc>
        <w:tc>
          <w:tcPr>
            <w:tcW w:w="450" w:type="dxa"/>
            <w:gridSpan w:val="2"/>
            <w:vAlign w:val="center"/>
            <w:hideMark/>
          </w:tcPr>
          <w:p w14:paraId="53947DD7" w14:textId="77777777" w:rsidR="00B83285" w:rsidRDefault="00B83285">
            <w:pPr>
              <w:rPr>
                <w:rFonts w:ascii="Cambria" w:hAnsi="Cambria"/>
                <w:kern w:val="2"/>
                <w:sz w:val="24"/>
                <w:szCs w:val="24"/>
                <w14:ligatures w14:val="standardContextual"/>
              </w:rPr>
            </w:pPr>
            <w:r>
              <w:rPr>
                <w:rFonts w:ascii="Cambria" w:hAnsi="Cambria"/>
                <w:kern w:val="2"/>
                <w:sz w:val="24"/>
                <w:szCs w:val="24"/>
                <w14:ligatures w14:val="standardContextual"/>
              </w:rPr>
              <w:t> </w:t>
            </w:r>
          </w:p>
        </w:tc>
      </w:tr>
      <w:tr w:rsidR="00B83285" w14:paraId="6824FABF" w14:textId="77777777" w:rsidTr="00B83285">
        <w:trPr>
          <w:trHeight w:val="288"/>
        </w:trPr>
        <w:tc>
          <w:tcPr>
            <w:tcW w:w="8418" w:type="dxa"/>
            <w:gridSpan w:val="7"/>
            <w:noWrap/>
            <w:tcMar>
              <w:top w:w="0" w:type="dxa"/>
              <w:left w:w="108" w:type="dxa"/>
              <w:bottom w:w="0" w:type="dxa"/>
              <w:right w:w="108" w:type="dxa"/>
            </w:tcMar>
            <w:vAlign w:val="bottom"/>
            <w:hideMark/>
          </w:tcPr>
          <w:p w14:paraId="2E0986AF" w14:textId="77777777" w:rsidR="00B83285" w:rsidRDefault="00B83285">
            <w:pPr>
              <w:rPr>
                <w:rFonts w:ascii="Cambria" w:hAnsi="Cambria"/>
                <w:kern w:val="2"/>
                <w:sz w:val="24"/>
                <w:szCs w:val="24"/>
                <w14:ligatures w14:val="standardContextual"/>
              </w:rPr>
            </w:pPr>
            <w:r>
              <w:rPr>
                <w:rFonts w:ascii="Baskerville Old Face" w:hAnsi="Baskerville Old Face"/>
                <w:b/>
                <w:bCs/>
                <w:kern w:val="2"/>
                <w:sz w:val="24"/>
                <w:szCs w:val="24"/>
                <w14:ligatures w14:val="standardContextual"/>
              </w:rPr>
              <w:t xml:space="preserve">(1)  </w:t>
            </w:r>
            <w:r>
              <w:rPr>
                <w:rFonts w:ascii="Baskerville Old Face" w:hAnsi="Baskerville Old Face"/>
                <w:kern w:val="2"/>
                <w:sz w:val="24"/>
                <w:szCs w:val="24"/>
                <w14:ligatures w14:val="standardContextual"/>
              </w:rPr>
              <w:t xml:space="preserve">MTA will receive additional operating aid, including Payroll Mobility Tax </w:t>
            </w:r>
          </w:p>
        </w:tc>
        <w:tc>
          <w:tcPr>
            <w:tcW w:w="222" w:type="dxa"/>
            <w:noWrap/>
            <w:tcMar>
              <w:top w:w="0" w:type="dxa"/>
              <w:left w:w="108" w:type="dxa"/>
              <w:bottom w:w="0" w:type="dxa"/>
              <w:right w:w="108" w:type="dxa"/>
            </w:tcMar>
            <w:vAlign w:val="bottom"/>
            <w:hideMark/>
          </w:tcPr>
          <w:p w14:paraId="3E80A41E" w14:textId="77777777" w:rsidR="00B83285" w:rsidRDefault="00B83285">
            <w:pPr>
              <w:rPr>
                <w:rFonts w:ascii="Cambria" w:hAnsi="Cambria"/>
                <w:kern w:val="2"/>
                <w:sz w:val="24"/>
                <w:szCs w:val="24"/>
                <w14:ligatures w14:val="standardContextual"/>
              </w:rPr>
            </w:pPr>
          </w:p>
        </w:tc>
      </w:tr>
      <w:tr w:rsidR="00B83285" w14:paraId="1C5F1936" w14:textId="77777777" w:rsidTr="00B83285">
        <w:trPr>
          <w:trHeight w:val="288"/>
        </w:trPr>
        <w:tc>
          <w:tcPr>
            <w:tcW w:w="8418" w:type="dxa"/>
            <w:gridSpan w:val="7"/>
            <w:noWrap/>
            <w:tcMar>
              <w:top w:w="0" w:type="dxa"/>
              <w:left w:w="108" w:type="dxa"/>
              <w:bottom w:w="0" w:type="dxa"/>
              <w:right w:w="108" w:type="dxa"/>
            </w:tcMar>
            <w:vAlign w:val="bottom"/>
            <w:hideMark/>
          </w:tcPr>
          <w:p w14:paraId="6DB46825" w14:textId="77777777" w:rsidR="00B83285" w:rsidRDefault="00B83285">
            <w:pPr>
              <w:rPr>
                <w:rFonts w:ascii="Cambria" w:hAnsi="Cambria"/>
                <w:kern w:val="2"/>
                <w:sz w:val="24"/>
                <w:szCs w:val="24"/>
                <w14:ligatures w14:val="standardContextual"/>
              </w:rPr>
            </w:pPr>
            <w:r>
              <w:rPr>
                <w:rFonts w:ascii="Baskerville Old Face" w:hAnsi="Baskerville Old Face"/>
                <w:kern w:val="2"/>
                <w:sz w:val="24"/>
                <w:szCs w:val="24"/>
                <w14:ligatures w14:val="standardContextual"/>
              </w:rPr>
              <w:t>      and other revenues received directly rather than through the state budget.</w:t>
            </w:r>
          </w:p>
        </w:tc>
        <w:tc>
          <w:tcPr>
            <w:tcW w:w="222" w:type="dxa"/>
            <w:noWrap/>
            <w:tcMar>
              <w:top w:w="0" w:type="dxa"/>
              <w:left w:w="108" w:type="dxa"/>
              <w:bottom w:w="0" w:type="dxa"/>
              <w:right w:w="108" w:type="dxa"/>
            </w:tcMar>
            <w:vAlign w:val="bottom"/>
            <w:hideMark/>
          </w:tcPr>
          <w:p w14:paraId="3D0C4FD3" w14:textId="77777777" w:rsidR="00B83285" w:rsidRDefault="00B83285">
            <w:pPr>
              <w:rPr>
                <w:rFonts w:ascii="Cambria" w:hAnsi="Cambria"/>
                <w:kern w:val="2"/>
                <w:sz w:val="24"/>
                <w:szCs w:val="24"/>
                <w14:ligatures w14:val="standardContextual"/>
              </w:rPr>
            </w:pPr>
          </w:p>
        </w:tc>
      </w:tr>
      <w:tr w:rsidR="00B83285" w14:paraId="2D8ECB7C" w14:textId="77777777" w:rsidTr="00B83285">
        <w:trPr>
          <w:trHeight w:val="288"/>
        </w:trPr>
        <w:tc>
          <w:tcPr>
            <w:tcW w:w="8640" w:type="dxa"/>
            <w:gridSpan w:val="8"/>
            <w:noWrap/>
            <w:tcMar>
              <w:top w:w="0" w:type="dxa"/>
              <w:left w:w="108" w:type="dxa"/>
              <w:bottom w:w="0" w:type="dxa"/>
              <w:right w:w="108" w:type="dxa"/>
            </w:tcMar>
            <w:vAlign w:val="bottom"/>
            <w:hideMark/>
          </w:tcPr>
          <w:p w14:paraId="0756F201" w14:textId="77777777" w:rsidR="00B83285" w:rsidRDefault="00B83285">
            <w:pPr>
              <w:rPr>
                <w:rFonts w:ascii="Cambria" w:hAnsi="Cambria"/>
                <w:kern w:val="2"/>
                <w:sz w:val="24"/>
                <w:szCs w:val="24"/>
                <w14:ligatures w14:val="standardContextual"/>
              </w:rPr>
            </w:pPr>
            <w:r>
              <w:rPr>
                <w:rFonts w:ascii="Baskerville Old Face" w:hAnsi="Baskerville Old Face"/>
                <w:b/>
                <w:bCs/>
                <w:kern w:val="2"/>
                <w:sz w:val="24"/>
                <w:szCs w:val="24"/>
                <w14:ligatures w14:val="standardContextual"/>
              </w:rPr>
              <w:t xml:space="preserve">(2)  </w:t>
            </w:r>
            <w:r>
              <w:rPr>
                <w:rFonts w:ascii="Baskerville Old Face" w:hAnsi="Baskerville Old Face"/>
                <w:kern w:val="2"/>
                <w:sz w:val="24"/>
                <w:szCs w:val="24"/>
                <w14:ligatures w14:val="standardContextual"/>
              </w:rPr>
              <w:t xml:space="preserve">CDTA receives an additional $1,638,900 for takeover of Warren County service </w:t>
            </w:r>
          </w:p>
        </w:tc>
      </w:tr>
      <w:tr w:rsidR="00B83285" w14:paraId="6E39CF81" w14:textId="77777777" w:rsidTr="00B83285">
        <w:trPr>
          <w:trHeight w:val="288"/>
        </w:trPr>
        <w:tc>
          <w:tcPr>
            <w:tcW w:w="7040" w:type="dxa"/>
            <w:gridSpan w:val="5"/>
            <w:noWrap/>
            <w:tcMar>
              <w:top w:w="0" w:type="dxa"/>
              <w:left w:w="108" w:type="dxa"/>
              <w:bottom w:w="0" w:type="dxa"/>
              <w:right w:w="108" w:type="dxa"/>
            </w:tcMar>
            <w:vAlign w:val="bottom"/>
            <w:hideMark/>
          </w:tcPr>
          <w:p w14:paraId="5A211396" w14:textId="77777777" w:rsidR="00B83285" w:rsidRDefault="00B83285">
            <w:pPr>
              <w:rPr>
                <w:rFonts w:ascii="Cambria" w:hAnsi="Cambria"/>
                <w:kern w:val="2"/>
                <w:sz w:val="24"/>
                <w:szCs w:val="24"/>
                <w14:ligatures w14:val="standardContextual"/>
              </w:rPr>
            </w:pPr>
            <w:r>
              <w:rPr>
                <w:rFonts w:ascii="Baskerville Old Face" w:hAnsi="Baskerville Old Face"/>
                <w:kern w:val="2"/>
                <w:sz w:val="24"/>
                <w:szCs w:val="24"/>
                <w14:ligatures w14:val="standardContextual"/>
              </w:rPr>
              <w:t>      which is also subtracted from the Upstate Formula line.</w:t>
            </w:r>
          </w:p>
        </w:tc>
        <w:tc>
          <w:tcPr>
            <w:tcW w:w="1156" w:type="dxa"/>
            <w:noWrap/>
            <w:tcMar>
              <w:top w:w="0" w:type="dxa"/>
              <w:left w:w="108" w:type="dxa"/>
              <w:bottom w:w="0" w:type="dxa"/>
              <w:right w:w="108" w:type="dxa"/>
            </w:tcMar>
            <w:vAlign w:val="bottom"/>
            <w:hideMark/>
          </w:tcPr>
          <w:p w14:paraId="41F93C88" w14:textId="77777777" w:rsidR="00B83285" w:rsidRDefault="00B83285">
            <w:pPr>
              <w:rPr>
                <w:rFonts w:ascii="Cambria" w:hAnsi="Cambria"/>
                <w:kern w:val="2"/>
                <w:sz w:val="24"/>
                <w:szCs w:val="24"/>
                <w14:ligatures w14:val="standardContextual"/>
              </w:rPr>
            </w:pPr>
          </w:p>
        </w:tc>
        <w:tc>
          <w:tcPr>
            <w:tcW w:w="222" w:type="dxa"/>
            <w:noWrap/>
            <w:tcMar>
              <w:top w:w="0" w:type="dxa"/>
              <w:left w:w="108" w:type="dxa"/>
              <w:bottom w:w="0" w:type="dxa"/>
              <w:right w:w="108" w:type="dxa"/>
            </w:tcMar>
            <w:vAlign w:val="bottom"/>
            <w:hideMark/>
          </w:tcPr>
          <w:p w14:paraId="1193FB7C" w14:textId="77777777" w:rsidR="00B83285" w:rsidRDefault="00B83285">
            <w:pPr>
              <w:rPr>
                <w:rFonts w:asciiTheme="minorHAnsi" w:hAnsiTheme="minorHAnsi" w:cstheme="minorBidi"/>
                <w:sz w:val="20"/>
                <w:szCs w:val="20"/>
              </w:rPr>
            </w:pPr>
          </w:p>
        </w:tc>
        <w:tc>
          <w:tcPr>
            <w:tcW w:w="222" w:type="dxa"/>
            <w:tcMar>
              <w:top w:w="0" w:type="dxa"/>
              <w:left w:w="108" w:type="dxa"/>
              <w:bottom w:w="0" w:type="dxa"/>
              <w:right w:w="108" w:type="dxa"/>
            </w:tcMar>
            <w:vAlign w:val="center"/>
            <w:hideMark/>
          </w:tcPr>
          <w:p w14:paraId="752381DC" w14:textId="77777777" w:rsidR="00B83285" w:rsidRDefault="00B83285">
            <w:pPr>
              <w:rPr>
                <w:rFonts w:asciiTheme="minorHAnsi" w:hAnsiTheme="minorHAnsi" w:cstheme="minorBidi"/>
                <w:sz w:val="20"/>
                <w:szCs w:val="20"/>
              </w:rPr>
            </w:pPr>
          </w:p>
        </w:tc>
      </w:tr>
      <w:tr w:rsidR="00B83285" w14:paraId="40F12A92" w14:textId="77777777" w:rsidTr="00B83285">
        <w:tc>
          <w:tcPr>
            <w:tcW w:w="1890" w:type="dxa"/>
            <w:vAlign w:val="center"/>
            <w:hideMark/>
          </w:tcPr>
          <w:p w14:paraId="3ADA67FF" w14:textId="77777777" w:rsidR="00B83285" w:rsidRDefault="00B83285">
            <w:pPr>
              <w:rPr>
                <w:rFonts w:asciiTheme="minorHAnsi" w:hAnsiTheme="minorHAnsi" w:cstheme="minorBidi"/>
                <w:sz w:val="20"/>
                <w:szCs w:val="20"/>
              </w:rPr>
            </w:pPr>
          </w:p>
        </w:tc>
        <w:tc>
          <w:tcPr>
            <w:tcW w:w="1710" w:type="dxa"/>
            <w:vAlign w:val="center"/>
            <w:hideMark/>
          </w:tcPr>
          <w:p w14:paraId="67D47D46" w14:textId="77777777" w:rsidR="00B83285" w:rsidRDefault="00B83285">
            <w:pPr>
              <w:rPr>
                <w:rFonts w:asciiTheme="minorHAnsi" w:hAnsiTheme="minorHAnsi" w:cstheme="minorBidi"/>
                <w:sz w:val="20"/>
                <w:szCs w:val="20"/>
              </w:rPr>
            </w:pPr>
          </w:p>
        </w:tc>
        <w:tc>
          <w:tcPr>
            <w:tcW w:w="135" w:type="dxa"/>
            <w:vAlign w:val="center"/>
            <w:hideMark/>
          </w:tcPr>
          <w:p w14:paraId="5DD6C5E3" w14:textId="77777777" w:rsidR="00B83285" w:rsidRDefault="00B83285">
            <w:pPr>
              <w:rPr>
                <w:rFonts w:asciiTheme="minorHAnsi" w:hAnsiTheme="minorHAnsi" w:cstheme="minorBidi"/>
                <w:sz w:val="20"/>
                <w:szCs w:val="20"/>
              </w:rPr>
            </w:pPr>
          </w:p>
        </w:tc>
        <w:tc>
          <w:tcPr>
            <w:tcW w:w="1695" w:type="dxa"/>
            <w:vAlign w:val="center"/>
            <w:hideMark/>
          </w:tcPr>
          <w:p w14:paraId="13727F0B" w14:textId="77777777" w:rsidR="00B83285" w:rsidRDefault="00B83285">
            <w:pPr>
              <w:rPr>
                <w:rFonts w:asciiTheme="minorHAnsi" w:hAnsiTheme="minorHAnsi" w:cstheme="minorBidi"/>
                <w:sz w:val="20"/>
                <w:szCs w:val="20"/>
              </w:rPr>
            </w:pPr>
          </w:p>
        </w:tc>
        <w:tc>
          <w:tcPr>
            <w:tcW w:w="1620" w:type="dxa"/>
            <w:vAlign w:val="center"/>
            <w:hideMark/>
          </w:tcPr>
          <w:p w14:paraId="2A8079DA" w14:textId="77777777" w:rsidR="00B83285" w:rsidRDefault="00B83285">
            <w:pPr>
              <w:rPr>
                <w:rFonts w:asciiTheme="minorHAnsi" w:hAnsiTheme="minorHAnsi" w:cstheme="minorBidi"/>
                <w:sz w:val="20"/>
                <w:szCs w:val="20"/>
              </w:rPr>
            </w:pPr>
          </w:p>
        </w:tc>
        <w:tc>
          <w:tcPr>
            <w:tcW w:w="1155" w:type="dxa"/>
            <w:vAlign w:val="center"/>
            <w:hideMark/>
          </w:tcPr>
          <w:p w14:paraId="1DCF6428" w14:textId="77777777" w:rsidR="00B83285" w:rsidRDefault="00B83285">
            <w:pPr>
              <w:rPr>
                <w:rFonts w:asciiTheme="minorHAnsi" w:hAnsiTheme="minorHAnsi" w:cstheme="minorBidi"/>
                <w:sz w:val="20"/>
                <w:szCs w:val="20"/>
              </w:rPr>
            </w:pPr>
          </w:p>
        </w:tc>
        <w:tc>
          <w:tcPr>
            <w:tcW w:w="225" w:type="dxa"/>
            <w:vAlign w:val="center"/>
            <w:hideMark/>
          </w:tcPr>
          <w:p w14:paraId="384222B5" w14:textId="77777777" w:rsidR="00B83285" w:rsidRDefault="00B83285">
            <w:pPr>
              <w:rPr>
                <w:rFonts w:asciiTheme="minorHAnsi" w:hAnsiTheme="minorHAnsi" w:cstheme="minorBidi"/>
                <w:sz w:val="20"/>
                <w:szCs w:val="20"/>
              </w:rPr>
            </w:pPr>
          </w:p>
        </w:tc>
        <w:tc>
          <w:tcPr>
            <w:tcW w:w="225" w:type="dxa"/>
            <w:vAlign w:val="center"/>
            <w:hideMark/>
          </w:tcPr>
          <w:p w14:paraId="5C3A3ADD" w14:textId="77777777" w:rsidR="00B83285" w:rsidRDefault="00B83285">
            <w:pPr>
              <w:rPr>
                <w:rFonts w:asciiTheme="minorHAnsi" w:hAnsiTheme="minorHAnsi" w:cstheme="minorBidi"/>
                <w:sz w:val="20"/>
                <w:szCs w:val="20"/>
              </w:rPr>
            </w:pPr>
          </w:p>
        </w:tc>
      </w:tr>
    </w:tbl>
    <w:p w14:paraId="7EFAE74C" w14:textId="77777777" w:rsidR="00B83285" w:rsidRDefault="00B83285" w:rsidP="00B83285">
      <w:pPr>
        <w:spacing w:line="254" w:lineRule="auto"/>
        <w:jc w:val="both"/>
        <w:rPr>
          <w:rFonts w:ascii="Cambria" w:hAnsi="Cambria"/>
          <w:sz w:val="24"/>
          <w:szCs w:val="24"/>
        </w:rPr>
      </w:pPr>
      <w:r>
        <w:rPr>
          <w:rFonts w:ascii="Baskerville Old Face" w:hAnsi="Baskerville Old Face"/>
          <w:sz w:val="24"/>
          <w:szCs w:val="24"/>
        </w:rPr>
        <w:t> </w:t>
      </w:r>
    </w:p>
    <w:p w14:paraId="7A883AA7" w14:textId="77777777" w:rsidR="00B83285" w:rsidRDefault="00B83285" w:rsidP="00B83285">
      <w:pPr>
        <w:spacing w:line="254" w:lineRule="auto"/>
        <w:jc w:val="both"/>
        <w:rPr>
          <w:rFonts w:ascii="Cambria" w:hAnsi="Cambria"/>
          <w:sz w:val="24"/>
          <w:szCs w:val="24"/>
        </w:rPr>
      </w:pPr>
      <w:r>
        <w:rPr>
          <w:rFonts w:ascii="Baskerville Old Face" w:hAnsi="Baskerville Old Face"/>
          <w:sz w:val="24"/>
          <w:szCs w:val="24"/>
        </w:rPr>
        <w:t>Finally, the final State Budget contains two additional appropriations of $200,000 each, one for the City of Hudson/Village of Chatham and one for free bus service in the vicinity of Middletown NY.</w:t>
      </w:r>
    </w:p>
    <w:p w14:paraId="4ED324BA" w14:textId="77777777" w:rsidR="003F7DD9" w:rsidRDefault="003F7DD9"/>
    <w:sectPr w:rsidR="003F7D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D3A3F"/>
    <w:multiLevelType w:val="multilevel"/>
    <w:tmpl w:val="6C927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1946DB"/>
    <w:multiLevelType w:val="multilevel"/>
    <w:tmpl w:val="23DAA3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08805205">
    <w:abstractNumId w:val="0"/>
    <w:lvlOverride w:ilvl="0"/>
    <w:lvlOverride w:ilvl="1"/>
    <w:lvlOverride w:ilvl="2"/>
    <w:lvlOverride w:ilvl="3"/>
    <w:lvlOverride w:ilvl="4"/>
    <w:lvlOverride w:ilvl="5"/>
    <w:lvlOverride w:ilvl="6"/>
    <w:lvlOverride w:ilvl="7"/>
    <w:lvlOverride w:ilvl="8"/>
  </w:num>
  <w:num w:numId="2" w16cid:durableId="160132869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285"/>
    <w:rsid w:val="003F7DD9"/>
    <w:rsid w:val="00865AE6"/>
    <w:rsid w:val="00B83285"/>
    <w:rsid w:val="00EF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7ACA3"/>
  <w15:chartTrackingRefBased/>
  <w15:docId w15:val="{8F3D7AF9-00D8-4DA2-89B7-AF5B13E10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285"/>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39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i_lv720x9m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4602</Characters>
  <Application>Microsoft Office Word</Application>
  <DocSecurity>0</DocSecurity>
  <Lines>38</Lines>
  <Paragraphs>10</Paragraphs>
  <ScaleCrop>false</ScaleCrop>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Bowker</dc:creator>
  <cp:keywords/>
  <dc:description/>
  <cp:lastModifiedBy>Meagan Bowker</cp:lastModifiedBy>
  <cp:revision>1</cp:revision>
  <dcterms:created xsi:type="dcterms:W3CDTF">2024-05-03T13:27:00Z</dcterms:created>
  <dcterms:modified xsi:type="dcterms:W3CDTF">2024-05-03T13:28:00Z</dcterms:modified>
</cp:coreProperties>
</file>